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聊城市市级政府共享公物仓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进一步加大市级行政事业性国有资产盘活力度，建立资产共享共用调剂机制，提高资产配置使用效益，根据《行政事业性国有资产管理条例》（国务院令第738号）等有关法律法规，参照《山东省省级政府公物仓管理暂行办法》（鲁财资〔2020〕35号）等法规文件，结合我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本办法适用于市本级党的机关、人大机关、行政机关、政协机关、监察机关、审判机关、检察机关、民主党派机关、社会团体及各类事业单位。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东昌府区、茌平区、开发区、高新区、度假区财政部门参照本办法，可使用市级政府共享公物仓。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本办法所称市级政府共享公物仓（简称“公物仓”），是指对市、区两级行政事业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和市级罚没财物等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统一管理、统一调剂、统一处置的</w:t>
      </w:r>
      <w:r>
        <w:rPr>
          <w:rFonts w:hint="eastAsia" w:ascii="仿宋_GB2312" w:hAnsi="仿宋_GB2312" w:eastAsia="仿宋_GB2312" w:cs="仿宋_GB2312"/>
          <w:sz w:val="32"/>
          <w:szCs w:val="32"/>
        </w:rPr>
        <w:t>运作平台。公物仓管理的资产范围包括：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（一）行政事业单位闲置、待处置的资产；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（二）超过规定标准配置的资产；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（三）经党委、政府批准成立的临时机构（含工作专班）集中办公购置的资产；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（四）举办（参加）会议、展览、文体、典礼，以及开展普查、调查等活动购置的资产；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（五）市本级执法机关（行政执法部门）罚没财物；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（六）其他应纳入公物仓管理的资产。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公物仓运作应遵循受托管理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优先调剂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共享共用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公开透明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市财政局委托聊城市财信国有资产运营有限公司（以下简称“财信资产公司”）管理运营公物仓。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第六条  </w:t>
      </w:r>
      <w:r>
        <w:rPr>
          <w:rFonts w:hint="eastAsia" w:ascii="仿宋_GB2312" w:hAnsi="仿宋_GB2312" w:eastAsia="仿宋_GB2312" w:cs="仿宋_GB2312"/>
          <w:sz w:val="32"/>
          <w:szCs w:val="32"/>
        </w:rPr>
        <w:t>公物仓运转经费由市级财政预算安排解决，财信资产公司设置专账核算，主要用于资产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管理软件开发、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维护保养、运输、仓储库房及设施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等方面支出，具体经费管理办法另行制定。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按“虚拟公物仓+实体公物仓”的方式，利用市本级现有（闲置）场所改建为实体公物仓，主要存放通用资产、机械设备、罚没财物；以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“山东省行政事业资产管理信息系统”的政府共享公物仓管理模块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为平台，借鉴物联网技术建立虚拟公物仓，主要存放展示不动产及大型设备。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公物仓资产上缴、调剂使用和处置等事项，通过网上办理。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管理机构及职责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市级财政部门是管理市级政府共享公物仓的主管部门，其主要职责是：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（一）贯彻执行国家、省、本市有关行政事业单位国有资产管理的法律、法规和政策制度；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（二）研究制定公物仓相关政策制度；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（三）负责公物仓资产的配置、收缴、调配、使用和处置等事项的审批；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（四）监督检查公物仓管理及执行情况。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各区财政部门为公物仓共享使用单位，对辖区内行政事业单位纳入公物仓管理的资产，单独履行配置、收缴、调配、使用和处置等审批手续，出入库资产单独建立台账。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市级行政事业单位主要职责是：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（一）按程序审核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提交本部门及所属单位国有资产处置申请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上缴、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调拨、借用和归还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公物仓资产的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（二）根据工作需要，提出使用公物仓资产的申请，负责使用公物仓资产的管理维护，确保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公物仓资产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使用期间的安全完整。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第十一条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财信资产公司作为受托管理机构，负责公物仓日常管理，其主要职责是：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（一）执行公物仓管理的制度，接受市、区财政部门管理和监督；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（二）负责公物仓资产的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配置、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出租、处置、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及收益上缴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建设实体公物仓和虚拟公物仓，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及时提供和公布公物仓资产信息；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公物仓的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财务管理、会计核算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清查盘点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仓储管理、维护保养、资产报告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（五）定期向市、区财政部门报送公物仓资产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财信资产公司应当建立健全“市级政府共享公物仓”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管理制度，报市财政局批准后执行。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资产上缴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市级行政事业单位上缴公物仓资产，应当按规定权限履行报批程序，并填写《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聊城市市级行政事业单位国有资产缴仓审批表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报市财政局统一履行审批手续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办理资产移交入库。具体按下列程序办理：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（一）市级行政事业单位应当每年定期组织资产清查盘点，于每年12月31日前，将闲置和待处置资产移交公物仓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（二）临时机构（含工作专班）集中办公购置的资产，除明确规定另有用途外，由牵头部门在临时机构（含工作专班）撤销或集中办公结束后15个工作日内，将资产移交公物仓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（三）举办（参加）会议、展览、文体、典礼，以及开展普查、调查等活动购置的资产，由牵头部门在活动结束后5个工作日内，负责移交公物仓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（四）市级行政事业单位超过规定标准配置的资产，使用单位应当清理盘点后1个月内，按程序将资产移交公物仓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（五）市级执法机关、行政执法部门应根据行政处罚决定，没收、追缴决定，法院生效裁定、判决没收物品或者公告期满后，2个月内将罚没物品及其他必要的证明文件、材料，移送至公物仓；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（六）不宜移动和集中的资产，报经市财政局批准，由资产运营公司进行现场查验并按规定程序处置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（七）其他应上缴政府公物仓管理的资产应及时移交公物仓。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依据市（区）财政部门批复文件或备案材料，公物仓管理机构出具的接收资产的有关凭证，资产上缴单位应当及时核销资产账务，并在“山东省行政事业资产管理信息系统”中减少相关资产信息。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公物仓在接收有关部门（单位）资产时，应对接收的资产进行现场查验，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市财政局统一监制的《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聊城市市级行政事业单位国有资产缴仓审批表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》市级政府共享公物仓意见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处加盖市级政府共享公物仓资产管理专用章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资产使用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公物仓可调剂资产使用应当遵循“资产管理和资金管理有机结合”的原则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市（区）行政事业单位在预算编制和执行中，涉及新增资产配置的，应优先调剂使用符合条件的公物仓资产，确实无法调剂使用的再安排预算资金购置新增资产。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因履职运转和事业发展需要，市（区）行政事业单位申请新增配置资产，首先由主管部门统筹自有资产解决，自有资产无法满足工作需要的，应当通过公物仓调拨或借用方式解决。公物仓资产的调拨和借用：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（一）资产调拨。行政事业单位申请调拨政府公物仓资产，应当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聊城市市级政府共享公物仓国有资产调拨审批表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），经主管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部门审核、报市（区）财政部门批准后，办理资产出库。资产接收单位应当将调入资产及时登记入账，并在“山东省行政事业资产管理信息系统”中增加相关资产信息。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（二）资产借用。市（区）行政事业单位借用公物仓资产， 应当填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写《聊城市市级政府共享公物仓国有资产借用（归还）审批表》（见附件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主管部门审核，报市（区）财政部门批准后，办理资产出库。资产借用单位应当按期归还资产，经公物仓查验合格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办理资产入库。借用期间发生资产损毁、丢失的，资产借用单位应当按照出库时资产净值进行赔偿。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公物仓资产属于行政事业性国有资产，不得用于抵押担保、对外投资，公物仓闲置资产经市（区）财政部门批准，可以按照有偿使用管理相关规定执行。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资产处置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因报废、转让等原因需要处置公物仓资产的，由财信资产公司填写《聊城市市级政府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共享</w:t>
      </w:r>
      <w:r>
        <w:rPr>
          <w:rFonts w:hint="eastAsia" w:ascii="仿宋_GB2312" w:hAnsi="仿宋_GB2312" w:eastAsia="仿宋_GB2312" w:cs="仿宋_GB2312"/>
          <w:sz w:val="32"/>
          <w:szCs w:val="32"/>
        </w:rPr>
        <w:t>公物仓资产处置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》（见附件4），报经市（区）财政部门批准后进行处置，通常每月集中办理一次。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纳入公物仓管理的罚没财物处置，严格执行《罚没财物管理办法》（财税〔2020〕54号）等相关规定。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政府共享公物仓资产处置收入，按照政府非税入管理和国库集中收缴有关规定，在扣除相关评估费、拍卖佣金等直接税费后，全额上缴市（区）级国库。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市财政局对公物仓的运行情况实施监督检查。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每季度终了 5 个工作日内，由市财政局向市（区）两级行政事业单位发布政府公物仓运行情况，主要内容包括本季度资产上缴、调拨、借用、处置等情况，公布可调剂共享的存量资产信息。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市（区）财政部门、市级主管部门及所属单位、市财信资产公司违反本办法规定的，按照《财政违法行为处罚处分条例》（国务院令第 427 号）等有关法规处理。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本办法由市财政局负责解释。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</w:rPr>
        <w:t>期至2024年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1.聊城市市级行政事业单位国有资产缴仓审批表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聊城市市级政府共享公物仓国有资产调拨审批表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16" w:leftChars="760" w:hanging="320" w:hanging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聊城市市级政府共享公物仓国有资产借用（归还）审批表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16" w:leftChars="760" w:hanging="320" w:hanging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聊城市市级政府共享公物仓国有资产处置审批表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>信息公开选项：主动公开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聊城市财政局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2022年10月28日印发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78887"/>
    <w:multiLevelType w:val="singleLevel"/>
    <w:tmpl w:val="6B4788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TAwNGY4MjEwOWUwNGJjNjFiY2FiMTI4MWVjYTkifQ=="/>
  </w:docVars>
  <w:rsids>
    <w:rsidRoot w:val="3AB6291B"/>
    <w:rsid w:val="010E7335"/>
    <w:rsid w:val="02E54B56"/>
    <w:rsid w:val="19FE6AD4"/>
    <w:rsid w:val="20241BDF"/>
    <w:rsid w:val="2A1F0C40"/>
    <w:rsid w:val="2CA05B4A"/>
    <w:rsid w:val="2E140E38"/>
    <w:rsid w:val="2F315B4A"/>
    <w:rsid w:val="30B5335F"/>
    <w:rsid w:val="39D32C64"/>
    <w:rsid w:val="3AB6291B"/>
    <w:rsid w:val="3CE138EA"/>
    <w:rsid w:val="3FC70CE2"/>
    <w:rsid w:val="4145432E"/>
    <w:rsid w:val="46797D1A"/>
    <w:rsid w:val="48F8788A"/>
    <w:rsid w:val="51D871F7"/>
    <w:rsid w:val="56FF63EB"/>
    <w:rsid w:val="5C226AE7"/>
    <w:rsid w:val="7DBF7BC5"/>
    <w:rsid w:val="7F31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3291</Words>
  <Characters>3321</Characters>
  <Lines>0</Lines>
  <Paragraphs>0</Paragraphs>
  <TotalTime>19</TotalTime>
  <ScaleCrop>false</ScaleCrop>
  <LinksUpToDate>false</LinksUpToDate>
  <CharactersWithSpaces>3441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2022-08-30T01:44:00Z</dcterms:created>
  <dc:creator>北风吹</dc:creator>
  <cp:lastModifiedBy>zxq</cp:lastModifiedBy>
  <cp:lastPrinted>2022-10-28T08:08:05Z</cp:lastPrinted>
  <dcterms:modified xsi:type="dcterms:W3CDTF">2022-10-28T08:08:44Z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C1C960BF7AB245CB9E0359E9BD3D1FB5</vt:lpwstr>
  </property>
</Properties>
</file>