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LCCR-202</w:t>
      </w:r>
      <w:r>
        <w:rPr>
          <w:rFonts w:hint="eastAsia" w:ascii="黑体" w:hAnsi="黑体" w:eastAsia="黑体" w:cs="黑体"/>
          <w:sz w:val="32"/>
          <w:szCs w:val="32"/>
          <w:lang w:val="en-US" w:eastAsia="zh-CN"/>
        </w:rPr>
        <w:t>3</w:t>
      </w:r>
      <w:r>
        <w:rPr>
          <w:rFonts w:hint="eastAsia" w:ascii="黑体" w:hAnsi="黑体" w:eastAsia="黑体" w:cs="黑体"/>
          <w:sz w:val="32"/>
          <w:szCs w:val="32"/>
        </w:rPr>
        <w:t>-01600</w:t>
      </w:r>
      <w:r>
        <w:rPr>
          <w:rFonts w:hint="eastAsia" w:ascii="黑体" w:hAnsi="黑体" w:eastAsia="黑体" w:cs="黑体"/>
          <w:sz w:val="32"/>
          <w:szCs w:val="32"/>
          <w:lang w:val="en-US" w:eastAsia="zh-CN"/>
        </w:rPr>
        <w:t>04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1200" w:lineRule="exact"/>
        <w:ind w:left="210" w:leftChars="100" w:right="1995" w:rightChars="950"/>
        <w:jc w:val="distribute"/>
        <w:textAlignment w:val="auto"/>
        <w:rPr>
          <w:rFonts w:hint="eastAsia" w:ascii="方正大标宋简体" w:hAnsi="华文中宋" w:eastAsia="方正大标宋简体"/>
          <w:color w:val="FF5A28"/>
          <w:spacing w:val="-23"/>
          <w:w w:val="65"/>
          <w:sz w:val="100"/>
          <w:szCs w:val="100"/>
        </w:rPr>
      </w:pPr>
      <w:r>
        <w:rPr>
          <w:rFonts w:hint="eastAsia" w:ascii="方正大标宋简体" w:hAnsi="华文中宋" w:eastAsia="方正大标宋简体"/>
          <w:color w:val="FF5A28"/>
          <w:spacing w:val="-23"/>
          <w:w w:val="65"/>
          <w:sz w:val="100"/>
          <w:szCs w:val="100"/>
        </w:rPr>
        <w:pict>
          <v:rect id="_x0000_s2050" o:spid="_x0000_s2050" o:spt="1" style="position:absolute;left:0pt;margin-left:333.3pt;margin-top:19.5pt;height:101.4pt;width:105.65pt;z-index:251660288;mso-width-relative:page;mso-height-relative:page;" filled="f" stroked="f" coordsize="21600,21600" o:gfxdata="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bB66dsAAAAKAQAA&#10;DwAAAAAAAAABACAAAAAiAAAAZHJzL2Rvd25yZXYueG1sUEsBAhQAFAAAAAgAh07iQGXGbNekAQAA&#10;QgMAAA4AAAAAAAAAAQAgAAAAKgEAAGRycy9lMm9Eb2MueG1sUEsFBgAAAAAGAAYAWQEAAEAFAAAA&#10;AA==&#10;">
            <v:path/>
            <v:fill on="f" focussize="0,0"/>
            <v:stroke on="f"/>
            <v:imagedata o:title=""/>
            <o:lock v:ext="edit" aspectratio="f"/>
            <v:textbox>
              <w:txbxContent>
                <w:p>
                  <w:pPr>
                    <w:spacing w:line="1500" w:lineRule="exact"/>
                    <w:rPr>
                      <w:rFonts w:ascii="方正大标宋简体" w:hAnsi="华文中宋" w:eastAsia="方正大标宋简体"/>
                      <w:color w:val="FF5A28"/>
                      <w:w w:val="50"/>
                      <w:sz w:val="130"/>
                      <w:szCs w:val="130"/>
                    </w:rPr>
                  </w:pPr>
                  <w:r>
                    <w:rPr>
                      <w:rFonts w:hint="eastAsia" w:ascii="方正大标宋简体" w:hAnsi="华文中宋" w:eastAsia="方正大标宋简体"/>
                      <w:color w:val="FF5A28"/>
                      <w:w w:val="66"/>
                      <w:sz w:val="130"/>
                      <w:szCs w:val="130"/>
                    </w:rPr>
                    <w:t>文件</w:t>
                  </w:r>
                </w:p>
              </w:txbxContent>
            </v:textbox>
          </v:rect>
        </w:pict>
      </w:r>
      <w:r>
        <w:rPr>
          <w:rFonts w:hint="eastAsia" w:ascii="方正大标宋简体" w:hAnsi="华文中宋" w:eastAsia="方正大标宋简体"/>
          <w:color w:val="FF5A28"/>
          <w:spacing w:val="-23"/>
          <w:w w:val="65"/>
          <w:sz w:val="100"/>
          <w:szCs w:val="100"/>
        </w:rPr>
        <w:t>聊城市财政局</w:t>
      </w:r>
    </w:p>
    <w:p>
      <w:pPr>
        <w:keepNext w:val="0"/>
        <w:keepLines w:val="0"/>
        <w:pageBreakBefore w:val="0"/>
        <w:widowControl w:val="0"/>
        <w:kinsoku/>
        <w:wordWrap/>
        <w:overflowPunct/>
        <w:topLinePunct w:val="0"/>
        <w:autoSpaceDE/>
        <w:autoSpaceDN/>
        <w:bidi w:val="0"/>
        <w:adjustRightInd/>
        <w:snapToGrid/>
        <w:spacing w:line="1200" w:lineRule="exact"/>
        <w:ind w:left="210" w:leftChars="100" w:right="1995" w:rightChars="950"/>
        <w:jc w:val="distribute"/>
        <w:textAlignment w:val="auto"/>
        <w:rPr>
          <w:rFonts w:hint="eastAsia" w:ascii="方正大标宋简体" w:hAnsi="华文中宋" w:eastAsia="方正大标宋简体"/>
          <w:color w:val="FF5A28"/>
          <w:spacing w:val="-23"/>
          <w:w w:val="65"/>
          <w:sz w:val="100"/>
          <w:szCs w:val="100"/>
        </w:rPr>
      </w:pPr>
      <w:r>
        <w:rPr>
          <w:rFonts w:hint="eastAsia" w:ascii="方正大标宋简体" w:hAnsi="华文中宋" w:eastAsia="方正大标宋简体"/>
          <w:color w:val="FF5A28"/>
          <w:spacing w:val="-23"/>
          <w:w w:val="65"/>
          <w:sz w:val="100"/>
          <w:szCs w:val="100"/>
          <w:lang w:val="en-US" w:eastAsia="zh-CN"/>
        </w:rPr>
        <w:t>聊城市</w:t>
      </w:r>
      <w:r>
        <w:rPr>
          <w:rFonts w:hint="eastAsia" w:ascii="方正大标宋简体" w:hAnsi="华文中宋" w:eastAsia="方正大标宋简体"/>
          <w:color w:val="FF5A28"/>
          <w:spacing w:val="-23"/>
          <w:w w:val="65"/>
          <w:sz w:val="100"/>
          <w:szCs w:val="100"/>
          <w:lang w:eastAsia="zh-CN"/>
        </w:rPr>
        <w:t>工业和信息化</w:t>
      </w:r>
      <w:r>
        <w:rPr>
          <w:rFonts w:hint="eastAsia" w:ascii="方正大标宋简体" w:hAnsi="华文中宋" w:eastAsia="方正大标宋简体"/>
          <w:color w:val="FF5A28"/>
          <w:spacing w:val="-23"/>
          <w:w w:val="65"/>
          <w:sz w:val="100"/>
          <w:szCs w:val="100"/>
          <w:lang w:val="en-US" w:eastAsia="zh-CN"/>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80"/>
          <w:szCs w:val="80"/>
        </w:rPr>
      </w:pPr>
      <w:r>
        <w:rPr>
          <w:rFonts w:eastAsia="仿宋_GB2312"/>
          <w:sz w:val="80"/>
          <w:szCs w:val="80"/>
        </w:rPr>
        <w:t>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sz w:val="32"/>
        </w:rPr>
      </w:pPr>
      <w:r>
        <w:rPr>
          <w:rFonts w:eastAsia="仿宋_GB2312"/>
          <w:sz w:val="32"/>
        </w:rPr>
        <w:t>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32"/>
        </w:rPr>
      </w:pPr>
      <w:r>
        <w:rPr>
          <w:rFonts w:hint="eastAsia" w:ascii="仿宋_GB2312" w:eastAsia="仿宋_GB2312"/>
          <w:sz w:val="32"/>
          <w:szCs w:val="32"/>
        </w:rPr>
        <w:t>聊财工〔202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hAnsi="仿宋_GB2312" w:eastAsia="仿宋_GB2312" w:cs="仿宋_GB2312"/>
          <w:color w:val="000000"/>
          <w:sz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sz w:val="32"/>
        </w:rPr>
        <w:pict>
          <v:line id="直接连接符 13" o:spid="_x0000_s2051" o:spt="20" style="position:absolute;left:0pt;margin-left:-0.35pt;margin-top:13pt;height:0.75pt;width:439.35pt;z-index:251661312;mso-width-relative:page;mso-height-relative:page;" filled="f" stroked="t" coordsize="21600,21600" o:gfxdata="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Nakg1wAAAAgBAAAPAAAAAAAAAAEAIAAAACIAAABkcnMvZG93&#10;bnJldi54bWxQSwECFAAUAAAACACHTuJACm5S2AECAAD0AwAADgAAAAAAAAABACAAAAAmAQAAZHJz&#10;L2Uyb0RvYy54bWxQSwUGAAAAAAYABgBZAQAAmQUAAAAA&#10;">
            <v:path arrowok="t"/>
            <v:fill on="f" focussize="0,0"/>
            <v:stroke weight="2.25pt" color="#FF5A28" joinstyle="round"/>
            <v:imagedata o:title=""/>
            <o:lock v:ext="edit" aspectratio="f"/>
          </v:line>
        </w:pict>
      </w:r>
    </w:p>
    <w:p>
      <w:pPr>
        <w:pStyle w:val="9"/>
        <w:widowControl/>
        <w:spacing w:line="600" w:lineRule="exact"/>
        <w:ind w:firstLine="45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聊城市财政局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聊城市工业和信息化局</w:t>
      </w:r>
    </w:p>
    <w:p>
      <w:pPr>
        <w:pStyle w:val="9"/>
        <w:widowControl/>
        <w:spacing w:line="600" w:lineRule="exact"/>
        <w:ind w:firstLine="450"/>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sz w:val="44"/>
          <w:szCs w:val="44"/>
        </w:rPr>
        <w:t>关于印发《聊城市工业转型发展资金管理办法》的通知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各县（市、区）财政局、工业和信息化局，市属开发区财政</w:t>
      </w:r>
      <w:r>
        <w:rPr>
          <w:rFonts w:hint="eastAsia" w:ascii="仿宋_GB2312" w:hAnsi="仿宋_GB2312" w:eastAsia="仿宋_GB2312" w:cs="仿宋_GB2312"/>
          <w:color w:val="000000"/>
          <w:sz w:val="32"/>
          <w:szCs w:val="32"/>
          <w:shd w:val="clear" w:color="auto" w:fill="FFFFFF"/>
          <w:lang w:eastAsia="zh-CN"/>
        </w:rPr>
        <w:t>主管部门、工信主管部门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
          <w:sz w:val="32"/>
          <w:szCs w:val="32"/>
        </w:rPr>
        <w:t>为规范和加强我市工业转型发展资金使用管理，提高资金使用效益，参照工业转型发展资金领域财政事权和支出责任划分，根据有关规定，</w:t>
      </w:r>
      <w:r>
        <w:rPr>
          <w:rFonts w:hint="eastAsia" w:ascii="仿宋_GB2312" w:hAnsi="仿宋_GB2312" w:eastAsia="仿宋_GB2312" w:cs="仿宋_GB2312"/>
          <w:sz w:val="32"/>
          <w:szCs w:val="32"/>
          <w:shd w:val="clear" w:color="auto" w:fill="FFFFFF"/>
        </w:rPr>
        <w:t>市财政局会同市工业和信息化局</w:t>
      </w:r>
      <w:r>
        <w:rPr>
          <w:rFonts w:hint="eastAsia" w:ascii="仿宋_GB2312" w:hAnsi="仿宋_GB2312" w:eastAsia="仿宋_GB2312" w:cs="仿宋_GB2312"/>
          <w:sz w:val="32"/>
          <w:szCs w:val="32"/>
        </w:rPr>
        <w:t>制定了《聊城市工业转型发展资金管理办法》</w:t>
      </w:r>
      <w:r>
        <w:rPr>
          <w:rFonts w:hint="eastAsia" w:ascii="仿宋_GB2312" w:hAnsi="仿宋_GB2312" w:eastAsia="仿宋_GB2312" w:cs="仿宋_GB2312"/>
          <w:sz w:val="32"/>
          <w:szCs w:val="32"/>
          <w:shd w:val="clear" w:color="auto" w:fill="FFFFFF"/>
        </w:rPr>
        <w:t>，现予印发，请遵照执行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聊城市财政局               聊城市工业和信息化局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sz w:val="48"/>
        </w:rPr>
      </w:pPr>
    </w:p>
    <w:p>
      <w:pPr>
        <w:pStyle w:val="9"/>
        <w:keepNext w:val="0"/>
        <w:keepLines w:val="0"/>
        <w:pageBreakBefore w:val="0"/>
        <w:widowControl w:val="0"/>
        <w:kinsoku/>
        <w:wordWrap/>
        <w:overflowPunct/>
        <w:topLinePunct w:val="0"/>
        <w:bidi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聊城市工业转型发展资金管理办法</w:t>
      </w:r>
    </w:p>
    <w:p>
      <w:pPr>
        <w:pStyle w:val="9"/>
        <w:keepNext w:val="0"/>
        <w:keepLines w:val="0"/>
        <w:pageBreakBefore w:val="0"/>
        <w:widowControl w:val="0"/>
        <w:kinsoku/>
        <w:wordWrap/>
        <w:overflowPunct/>
        <w:topLinePunct w:val="0"/>
        <w:bidi w:val="0"/>
        <w:spacing w:line="600" w:lineRule="exact"/>
        <w:ind w:firstLine="450"/>
        <w:rPr>
          <w:rFonts w:ascii="仿宋_GB2312" w:hAnsi="仿宋_GB2312" w:eastAsia="仿宋_GB2312" w:cs="&amp;quot"/>
          <w:sz w:val="32"/>
          <w:szCs w:val="22"/>
        </w:rPr>
      </w:pPr>
    </w:p>
    <w:p>
      <w:pPr>
        <w:pStyle w:val="9"/>
        <w:keepNext w:val="0"/>
        <w:keepLines w:val="0"/>
        <w:pageBreakBefore w:val="0"/>
        <w:widowControl w:val="0"/>
        <w:kinsoku/>
        <w:wordWrap/>
        <w:overflowPunct/>
        <w:topLinePunct w:val="0"/>
        <w:bidi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pStyle w:val="9"/>
        <w:keepNext w:val="0"/>
        <w:keepLines w:val="0"/>
        <w:pageBreakBefore w:val="0"/>
        <w:widowControl w:val="0"/>
        <w:kinsoku/>
        <w:wordWrap/>
        <w:overflowPunct/>
        <w:topLinePunct w:val="0"/>
        <w:bidi w:val="0"/>
        <w:spacing w:line="600" w:lineRule="exact"/>
        <w:ind w:firstLine="450"/>
        <w:jc w:val="center"/>
        <w:rPr>
          <w:rFonts w:hint="eastAsia" w:ascii="黑体" w:hAnsi="黑体" w:eastAsia="黑体" w:cs="黑体"/>
          <w:sz w:val="32"/>
          <w:szCs w:val="32"/>
        </w:rPr>
      </w:pPr>
    </w:p>
    <w:p>
      <w:pPr>
        <w:pStyle w:val="9"/>
        <w:keepNext w:val="0"/>
        <w:keepLines w:val="0"/>
        <w:pageBreakBefore w:val="0"/>
        <w:widowControl w:val="0"/>
        <w:kinsoku/>
        <w:wordWrap/>
        <w:overflowPunct/>
        <w:topLinePunct w:val="0"/>
        <w:bidi w:val="0"/>
        <w:spacing w:line="600" w:lineRule="exact"/>
        <w:jc w:val="both"/>
        <w:rPr>
          <w:rFonts w:ascii="仿宋_GB2312" w:hAnsi="仿宋_GB2312" w:eastAsia="仿宋_GB2312" w:cs="仿宋"/>
          <w:sz w:val="32"/>
          <w:szCs w:val="32"/>
        </w:rPr>
      </w:pPr>
      <w:r>
        <w:rPr>
          <w:rFonts w:hint="eastAsia" w:ascii="仿宋_GB2312" w:hAnsi="仿宋_GB2312" w:eastAsia="仿宋_GB2312" w:cs="仿宋"/>
          <w:b/>
          <w:bCs/>
          <w:sz w:val="32"/>
          <w:szCs w:val="32"/>
        </w:rPr>
        <w:t xml:space="preserve">    第一条</w:t>
      </w:r>
      <w:r>
        <w:rPr>
          <w:rFonts w:hint="eastAsia" w:ascii="黑体" w:hAnsi="黑体" w:eastAsia="黑体" w:cs="黑体"/>
          <w:sz w:val="32"/>
          <w:szCs w:val="32"/>
        </w:rPr>
        <w:t xml:space="preserve">  </w:t>
      </w:r>
      <w:r>
        <w:rPr>
          <w:rFonts w:hint="eastAsia" w:ascii="仿宋_GB2312" w:hAnsi="仿宋_GB2312" w:eastAsia="仿宋_GB2312" w:cs="仿宋"/>
          <w:sz w:val="32"/>
          <w:szCs w:val="32"/>
        </w:rPr>
        <w:t>为规范和加强我市工业转型发展资金（以下简称“工业转型发展资金”）使用管理，提高资金使用效益，根据《中华人民共和国预算法》《聊城市人民政府关于深化市级预算管理改革的意见》（聊政发〔2019〕6号）、《关于印发&lt;聊城市全面推进预算绩效管理的实施方案&gt;的通知》（聊发〔2019〕19号）等有关规定，</w:t>
      </w:r>
      <w:r>
        <w:rPr>
          <w:rFonts w:hint="eastAsia" w:ascii="仿宋_GB2312" w:hAnsi="仿宋_GB2312" w:eastAsia="仿宋_GB2312" w:cs="仿宋"/>
          <w:sz w:val="32"/>
          <w:szCs w:val="32"/>
          <w:lang w:val="en-US" w:eastAsia="zh-CN"/>
        </w:rPr>
        <w:t>结合我市实际，</w:t>
      </w:r>
      <w:r>
        <w:rPr>
          <w:rFonts w:hint="eastAsia" w:ascii="仿宋_GB2312" w:hAnsi="仿宋_GB2312" w:eastAsia="仿宋_GB2312" w:cs="仿宋"/>
          <w:sz w:val="32"/>
          <w:szCs w:val="32"/>
        </w:rPr>
        <w:t>制定本办法。</w:t>
      </w:r>
    </w:p>
    <w:p>
      <w:pPr>
        <w:pStyle w:val="9"/>
        <w:keepNext w:val="0"/>
        <w:keepLines w:val="0"/>
        <w:pageBreakBefore w:val="0"/>
        <w:widowControl w:val="0"/>
        <w:kinsoku/>
        <w:wordWrap/>
        <w:overflowPunct/>
        <w:topLinePunct w:val="0"/>
        <w:bidi w:val="0"/>
        <w:spacing w:line="600" w:lineRule="exact"/>
        <w:ind w:firstLine="643" w:firstLineChars="200"/>
        <w:jc w:val="both"/>
        <w:rPr>
          <w:rFonts w:ascii="仿宋_GB2312" w:hAnsi="仿宋_GB2312" w:eastAsia="仿宋_GB2312" w:cs="仿宋"/>
          <w:sz w:val="32"/>
          <w:szCs w:val="32"/>
        </w:rPr>
      </w:pPr>
      <w:r>
        <w:rPr>
          <w:rFonts w:hint="eastAsia" w:ascii="仿宋_GB2312" w:hAnsi="仿宋_GB2312" w:eastAsia="仿宋_GB2312" w:cs="黑体"/>
          <w:b/>
          <w:bCs/>
          <w:sz w:val="32"/>
          <w:szCs w:val="32"/>
        </w:rPr>
        <w:t>第二条</w:t>
      </w:r>
      <w:r>
        <w:rPr>
          <w:rFonts w:hint="eastAsia" w:ascii="仿宋_GB2312" w:hAnsi="仿宋_GB2312" w:eastAsia="仿宋_GB2312" w:cs="仿宋"/>
          <w:b/>
          <w:bCs/>
          <w:sz w:val="32"/>
          <w:szCs w:val="32"/>
        </w:rPr>
        <w:t> </w:t>
      </w:r>
      <w:r>
        <w:rPr>
          <w:rFonts w:hint="eastAsia" w:ascii="仿宋_GB2312" w:hAnsi="仿宋_GB2312" w:eastAsia="仿宋_GB2312" w:cs="仿宋"/>
          <w:sz w:val="32"/>
          <w:szCs w:val="32"/>
        </w:rPr>
        <w:t xml:space="preserve"> 本办法所称工业转型发展资金是指由市级财政预算安排，用于支持市工业和信息化领域产业转型升级，提升经济发展质量和效益，提高公共服务能力和水平等方面的资金。</w:t>
      </w:r>
    </w:p>
    <w:p>
      <w:pPr>
        <w:pStyle w:val="9"/>
        <w:keepNext w:val="0"/>
        <w:keepLines w:val="0"/>
        <w:pageBreakBefore w:val="0"/>
        <w:widowControl w:val="0"/>
        <w:kinsoku/>
        <w:wordWrap/>
        <w:overflowPunct/>
        <w:topLinePunct w:val="0"/>
        <w:bidi w:val="0"/>
        <w:spacing w:line="600" w:lineRule="exact"/>
        <w:ind w:firstLine="643" w:firstLineChars="200"/>
        <w:jc w:val="both"/>
        <w:rPr>
          <w:rFonts w:hint="default" w:ascii="仿宋_GB2312" w:hAnsi="仿宋_GB2312" w:eastAsia="仿宋_GB2312" w:cs="仿宋"/>
          <w:sz w:val="32"/>
          <w:szCs w:val="32"/>
          <w:lang w:val="en-US" w:eastAsia="zh-CN"/>
        </w:rPr>
      </w:pPr>
      <w:r>
        <w:rPr>
          <w:rFonts w:hint="eastAsia" w:ascii="仿宋_GB2312" w:hAnsi="仿宋_GB2312" w:eastAsia="仿宋_GB2312" w:cs="黑体"/>
          <w:b/>
          <w:bCs/>
          <w:sz w:val="32"/>
          <w:szCs w:val="32"/>
        </w:rPr>
        <w:t>第三条</w:t>
      </w:r>
      <w:r>
        <w:rPr>
          <w:rFonts w:hint="eastAsia" w:ascii="仿宋_GB2312" w:hAnsi="仿宋_GB2312" w:eastAsia="仿宋_GB2312" w:cs="仿宋"/>
          <w:b/>
          <w:bCs/>
          <w:sz w:val="32"/>
          <w:szCs w:val="32"/>
        </w:rPr>
        <w:t> </w:t>
      </w:r>
      <w:r>
        <w:rPr>
          <w:rFonts w:hint="eastAsia" w:ascii="仿宋_GB2312" w:hAnsi="仿宋_GB2312" w:eastAsia="仿宋_GB2312" w:cs="仿宋"/>
          <w:sz w:val="32"/>
          <w:szCs w:val="32"/>
        </w:rPr>
        <w:t xml:space="preserve"> 工业转型发展资金</w:t>
      </w:r>
      <w:r>
        <w:rPr>
          <w:rFonts w:hint="eastAsia" w:ascii="仿宋_GB2312" w:hAnsi="仿宋_GB2312" w:eastAsia="仿宋_GB2312" w:cs="仿宋"/>
          <w:sz w:val="32"/>
          <w:szCs w:val="32"/>
          <w:lang w:val="en-US" w:eastAsia="zh-CN"/>
        </w:rPr>
        <w:t>管理使用坚持“突出重点、择优扶持、公开透明、注重绩效”的原则，充分发挥财政资金的引导作用，确保资金使用规范、安全、高效。</w:t>
      </w:r>
    </w:p>
    <w:p>
      <w:pPr>
        <w:pStyle w:val="9"/>
        <w:keepNext w:val="0"/>
        <w:keepLines w:val="0"/>
        <w:pageBreakBefore w:val="0"/>
        <w:widowControl w:val="0"/>
        <w:numPr>
          <w:ilvl w:val="0"/>
          <w:numId w:val="1"/>
        </w:numPr>
        <w:kinsoku/>
        <w:wordWrap/>
        <w:overflowPunct/>
        <w:topLinePunct w:val="0"/>
        <w:bidi w:val="0"/>
        <w:spacing w:line="60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lang w:val="en-US" w:eastAsia="zh-CN"/>
        </w:rPr>
        <w:t xml:space="preserve"> 工业转型发展资金</w:t>
      </w:r>
      <w:r>
        <w:rPr>
          <w:rFonts w:hint="eastAsia" w:ascii="仿宋_GB2312" w:hAnsi="仿宋_GB2312" w:eastAsia="仿宋_GB2312" w:cs="仿宋"/>
          <w:sz w:val="32"/>
          <w:szCs w:val="32"/>
        </w:rPr>
        <w:t>由市财政局、市工业和信息化局按照职责分工进行管理。</w:t>
      </w:r>
    </w:p>
    <w:p>
      <w:pPr>
        <w:pStyle w:val="9"/>
        <w:keepNext w:val="0"/>
        <w:keepLines w:val="0"/>
        <w:pageBreakBefore w:val="0"/>
        <w:widowControl w:val="0"/>
        <w:numPr>
          <w:ilvl w:val="0"/>
          <w:numId w:val="0"/>
        </w:numPr>
        <w:kinsoku/>
        <w:wordWrap/>
        <w:overflowPunct/>
        <w:topLinePunct w:val="0"/>
        <w:bidi w:val="0"/>
        <w:spacing w:line="600" w:lineRule="exact"/>
        <w:ind w:firstLine="640" w:firstLineChars="200"/>
        <w:jc w:val="both"/>
        <w:rPr>
          <w:rFonts w:hint="eastAsia" w:ascii="仿宋_GB2312" w:hAnsi="仿宋_GB2312" w:eastAsia="仿宋_GB2312" w:cs="仿宋"/>
          <w:sz w:val="32"/>
          <w:szCs w:val="32"/>
        </w:rPr>
      </w:pPr>
      <w:r>
        <w:rPr>
          <w:rFonts w:hint="eastAsia" w:ascii="仿宋_GB2312" w:hAnsi="仿宋_GB2312" w:eastAsia="仿宋_GB2312" w:cs="仿宋"/>
          <w:sz w:val="32"/>
          <w:szCs w:val="32"/>
        </w:rPr>
        <w:t>市财政局负责</w:t>
      </w:r>
      <w:r>
        <w:rPr>
          <w:rFonts w:hint="eastAsia" w:ascii="仿宋_GB2312" w:hAnsi="仿宋_GB2312" w:eastAsia="仿宋_GB2312" w:cs="仿宋"/>
          <w:sz w:val="32"/>
          <w:szCs w:val="32"/>
          <w:lang w:val="en-US" w:eastAsia="zh-CN"/>
        </w:rPr>
        <w:t>组织工业转型发展资金</w:t>
      </w:r>
      <w:r>
        <w:rPr>
          <w:rFonts w:hint="eastAsia" w:ascii="仿宋_GB2312" w:hAnsi="仿宋_GB2312" w:eastAsia="仿宋_GB2312" w:cs="仿宋"/>
          <w:sz w:val="32"/>
          <w:szCs w:val="32"/>
          <w:lang w:eastAsia="zh-CN"/>
        </w:rPr>
        <w:t>预算编制、支出政策审核和预算绩效管理、下达拨付资金等</w:t>
      </w:r>
      <w:r>
        <w:rPr>
          <w:rFonts w:hint="eastAsia" w:ascii="仿宋_GB2312" w:hAnsi="仿宋_GB2312" w:eastAsia="仿宋_GB2312" w:cs="仿宋"/>
          <w:sz w:val="32"/>
          <w:szCs w:val="32"/>
        </w:rPr>
        <w:t>。</w:t>
      </w:r>
    </w:p>
    <w:p>
      <w:pPr>
        <w:pStyle w:val="9"/>
        <w:keepNext w:val="0"/>
        <w:keepLines w:val="0"/>
        <w:pageBreakBefore w:val="0"/>
        <w:widowControl w:val="0"/>
        <w:numPr>
          <w:ilvl w:val="0"/>
          <w:numId w:val="0"/>
        </w:numPr>
        <w:kinsoku/>
        <w:wordWrap/>
        <w:overflowPunct/>
        <w:topLinePunct w:val="0"/>
        <w:bidi w:val="0"/>
        <w:spacing w:line="60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市工业和信息化局负责</w:t>
      </w:r>
      <w:r>
        <w:rPr>
          <w:rFonts w:hint="eastAsia" w:ascii="仿宋_GB2312" w:hAnsi="仿宋_GB2312" w:eastAsia="仿宋_GB2312" w:cs="仿宋"/>
          <w:sz w:val="32"/>
          <w:szCs w:val="32"/>
          <w:lang w:val="en-US" w:eastAsia="zh-CN"/>
        </w:rPr>
        <w:t>工业转型发展</w:t>
      </w:r>
      <w:r>
        <w:rPr>
          <w:rFonts w:hint="eastAsia" w:ascii="仿宋_GB2312" w:hAnsi="仿宋_GB2312" w:eastAsia="仿宋_GB2312" w:cs="仿宋"/>
          <w:sz w:val="32"/>
          <w:szCs w:val="32"/>
        </w:rPr>
        <w:t>资金预算编制和具体执行，研究制定资金分配使用方案</w:t>
      </w:r>
      <w:r>
        <w:rPr>
          <w:rFonts w:hint="eastAsia" w:ascii="仿宋_GB2312" w:hAnsi="仿宋_GB2312" w:eastAsia="仿宋_GB2312" w:cs="仿宋"/>
          <w:sz w:val="32"/>
          <w:szCs w:val="32"/>
          <w:lang w:val="en-US" w:eastAsia="zh-CN"/>
        </w:rPr>
        <w:t>和任务清单</w:t>
      </w:r>
      <w:r>
        <w:rPr>
          <w:rFonts w:hint="eastAsia" w:ascii="仿宋_GB2312" w:hAnsi="仿宋_GB2312" w:eastAsia="仿宋_GB2312" w:cs="仿宋"/>
          <w:sz w:val="32"/>
          <w:szCs w:val="32"/>
        </w:rPr>
        <w:t>，对支出进度、使用绩效</w:t>
      </w:r>
      <w:r>
        <w:rPr>
          <w:rFonts w:hint="eastAsia" w:ascii="仿宋_GB2312" w:hAnsi="仿宋_GB2312" w:eastAsia="仿宋_GB2312" w:cs="仿宋"/>
          <w:sz w:val="32"/>
          <w:szCs w:val="32"/>
          <w:lang w:eastAsia="zh-CN"/>
        </w:rPr>
        <w:t>以及</w:t>
      </w:r>
      <w:r>
        <w:rPr>
          <w:rFonts w:hint="eastAsia" w:ascii="仿宋_GB2312" w:hAnsi="仿宋_GB2312" w:eastAsia="仿宋_GB2312" w:cs="仿宋"/>
          <w:sz w:val="32"/>
          <w:szCs w:val="32"/>
          <w:lang w:val="en-US" w:eastAsia="zh-CN"/>
        </w:rPr>
        <w:t>专项资金</w:t>
      </w:r>
      <w:r>
        <w:rPr>
          <w:rFonts w:hint="eastAsia" w:ascii="仿宋_GB2312" w:hAnsi="仿宋_GB2312" w:eastAsia="仿宋_GB2312" w:cs="仿宋"/>
          <w:sz w:val="32"/>
          <w:szCs w:val="32"/>
          <w:lang w:eastAsia="zh-CN"/>
        </w:rPr>
        <w:t>安全性、规范性</w:t>
      </w:r>
      <w:r>
        <w:rPr>
          <w:rFonts w:hint="eastAsia" w:ascii="仿宋_GB2312" w:hAnsi="仿宋_GB2312" w:eastAsia="仿宋_GB2312" w:cs="仿宋"/>
          <w:sz w:val="32"/>
          <w:szCs w:val="32"/>
        </w:rPr>
        <w:t>负责。</w:t>
      </w:r>
    </w:p>
    <w:p>
      <w:pPr>
        <w:pStyle w:val="9"/>
        <w:keepNext w:val="0"/>
        <w:keepLines w:val="0"/>
        <w:pageBreakBefore w:val="0"/>
        <w:widowControl w:val="0"/>
        <w:kinsoku/>
        <w:wordWrap/>
        <w:overflowPunct/>
        <w:topLinePunct w:val="0"/>
        <w:bidi w:val="0"/>
        <w:spacing w:line="60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lang w:eastAsia="zh-CN"/>
        </w:rPr>
        <w:t>县（市、区）、</w:t>
      </w:r>
      <w:r>
        <w:rPr>
          <w:rFonts w:hint="eastAsia" w:ascii="仿宋_GB2312" w:hAnsi="仿宋_GB2312" w:eastAsia="仿宋_GB2312" w:cs="仿宋"/>
          <w:sz w:val="32"/>
          <w:szCs w:val="32"/>
          <w:lang w:val="en-US" w:eastAsia="zh-CN"/>
        </w:rPr>
        <w:t>市属开发区</w:t>
      </w:r>
      <w:r>
        <w:rPr>
          <w:rFonts w:hint="eastAsia" w:ascii="仿宋_GB2312" w:hAnsi="仿宋_GB2312" w:eastAsia="仿宋_GB2312" w:cs="仿宋"/>
          <w:sz w:val="32"/>
          <w:szCs w:val="32"/>
        </w:rPr>
        <w:t>财政</w:t>
      </w:r>
      <w:r>
        <w:rPr>
          <w:rFonts w:hint="eastAsia" w:ascii="仿宋_GB2312" w:hAnsi="仿宋_GB2312" w:eastAsia="仿宋_GB2312" w:cs="仿宋"/>
          <w:sz w:val="32"/>
          <w:szCs w:val="32"/>
          <w:lang w:eastAsia="zh-CN"/>
        </w:rPr>
        <w:t>、工业和信息化主管部门</w:t>
      </w:r>
      <w:r>
        <w:rPr>
          <w:rFonts w:hint="eastAsia" w:ascii="仿宋_GB2312" w:hAnsi="仿宋_GB2312" w:eastAsia="仿宋_GB2312" w:cs="仿宋"/>
          <w:sz w:val="32"/>
          <w:szCs w:val="32"/>
        </w:rPr>
        <w:t>要加强协调配合，保证</w:t>
      </w:r>
      <w:r>
        <w:rPr>
          <w:rFonts w:hint="eastAsia" w:ascii="仿宋_GB2312" w:hAnsi="仿宋_GB2312" w:eastAsia="仿宋_GB2312" w:cs="仿宋"/>
          <w:sz w:val="32"/>
          <w:szCs w:val="32"/>
          <w:lang w:val="en-US" w:eastAsia="zh-CN"/>
        </w:rPr>
        <w:t>工业转型发展</w:t>
      </w:r>
      <w:r>
        <w:rPr>
          <w:rFonts w:hint="eastAsia" w:ascii="仿宋_GB2312" w:hAnsi="仿宋_GB2312" w:eastAsia="仿宋_GB2312" w:cs="仿宋"/>
          <w:sz w:val="32"/>
          <w:szCs w:val="32"/>
        </w:rPr>
        <w:t>资金及时、足额拨付，对资金使用情况进行动态管理和跟踪问效，确保资金专款专用，提高资金使用效益。</w:t>
      </w:r>
    </w:p>
    <w:p>
      <w:pPr>
        <w:pStyle w:val="9"/>
        <w:keepNext w:val="0"/>
        <w:keepLines w:val="0"/>
        <w:pageBreakBefore w:val="0"/>
        <w:widowControl w:val="0"/>
        <w:kinsoku/>
        <w:wordWrap/>
        <w:overflowPunct/>
        <w:topLinePunct w:val="0"/>
        <w:bidi w:val="0"/>
        <w:spacing w:line="600" w:lineRule="exact"/>
        <w:ind w:firstLine="450"/>
        <w:rPr>
          <w:rFonts w:ascii="仿宋_GB2312" w:hAnsi="仿宋_GB2312" w:eastAsia="仿宋_GB2312" w:cs="仿宋"/>
          <w:sz w:val="32"/>
          <w:szCs w:val="32"/>
        </w:rPr>
      </w:pPr>
    </w:p>
    <w:p>
      <w:pPr>
        <w:pStyle w:val="9"/>
        <w:keepNext w:val="0"/>
        <w:keepLines w:val="0"/>
        <w:pageBreakBefore w:val="0"/>
        <w:widowControl w:val="0"/>
        <w:kinsoku/>
        <w:wordWrap/>
        <w:overflowPunct/>
        <w:topLinePunct w:val="0"/>
        <w:bidi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预算编制</w:t>
      </w:r>
    </w:p>
    <w:p>
      <w:pPr>
        <w:pStyle w:val="9"/>
        <w:keepNext w:val="0"/>
        <w:keepLines w:val="0"/>
        <w:pageBreakBefore w:val="0"/>
        <w:widowControl w:val="0"/>
        <w:kinsoku/>
        <w:wordWrap/>
        <w:overflowPunct/>
        <w:topLinePunct w:val="0"/>
        <w:bidi w:val="0"/>
        <w:spacing w:line="600" w:lineRule="exact"/>
        <w:ind w:firstLine="450"/>
        <w:jc w:val="center"/>
        <w:rPr>
          <w:rFonts w:hint="eastAsia" w:ascii="黑体" w:hAnsi="黑体" w:eastAsia="黑体" w:cs="黑体"/>
          <w:sz w:val="32"/>
          <w:szCs w:val="32"/>
        </w:rPr>
      </w:pPr>
    </w:p>
    <w:p>
      <w:pPr>
        <w:pStyle w:val="9"/>
        <w:keepNext w:val="0"/>
        <w:keepLines w:val="0"/>
        <w:pageBreakBefore w:val="0"/>
        <w:widowControl w:val="0"/>
        <w:kinsoku/>
        <w:wordWrap/>
        <w:overflowPunct/>
        <w:topLinePunct w:val="0"/>
        <w:bidi w:val="0"/>
        <w:spacing w:line="600" w:lineRule="exact"/>
        <w:ind w:firstLine="643" w:firstLineChars="200"/>
        <w:rPr>
          <w:rFonts w:ascii="仿宋_GB2312" w:hAnsi="仿宋_GB2312" w:eastAsia="仿宋_GB2312" w:cs="仿宋"/>
          <w:sz w:val="32"/>
          <w:szCs w:val="32"/>
        </w:rPr>
      </w:pPr>
      <w:r>
        <w:rPr>
          <w:rFonts w:hint="eastAsia" w:ascii="仿宋_GB2312" w:hAnsi="仿宋_GB2312" w:eastAsia="仿宋_GB2312" w:cs="黑体"/>
          <w:b/>
          <w:bCs/>
          <w:sz w:val="32"/>
          <w:szCs w:val="32"/>
        </w:rPr>
        <w:t>第</w:t>
      </w:r>
      <w:r>
        <w:rPr>
          <w:rFonts w:hint="eastAsia" w:ascii="仿宋_GB2312" w:hAnsi="仿宋_GB2312" w:eastAsia="仿宋_GB2312" w:cs="黑体"/>
          <w:b/>
          <w:bCs/>
          <w:sz w:val="32"/>
          <w:szCs w:val="32"/>
          <w:lang w:val="en-US" w:eastAsia="zh-CN"/>
        </w:rPr>
        <w:t>五</w:t>
      </w:r>
      <w:r>
        <w:rPr>
          <w:rFonts w:hint="eastAsia" w:ascii="仿宋_GB2312" w:hAnsi="仿宋_GB2312" w:eastAsia="仿宋_GB2312" w:cs="黑体"/>
          <w:b/>
          <w:bCs/>
          <w:sz w:val="32"/>
          <w:szCs w:val="32"/>
        </w:rPr>
        <w:t>条 </w:t>
      </w:r>
      <w:r>
        <w:rPr>
          <w:rFonts w:hint="eastAsia" w:ascii="仿宋_GB2312" w:hAnsi="仿宋_GB2312" w:eastAsia="仿宋_GB2312" w:cs="仿宋"/>
          <w:sz w:val="32"/>
          <w:szCs w:val="32"/>
        </w:rPr>
        <w:t xml:space="preserve"> 工业转型发展资金具体包括以下投向和支出内容：</w:t>
      </w:r>
    </w:p>
    <w:p>
      <w:pPr>
        <w:keepNext w:val="0"/>
        <w:keepLines w:val="0"/>
        <w:pageBreakBefore w:val="0"/>
        <w:widowControl w:val="0"/>
        <w:numPr>
          <w:ilvl w:val="0"/>
          <w:numId w:val="0"/>
        </w:numPr>
        <w:kinsoku/>
        <w:wordWrap/>
        <w:overflowPunct/>
        <w:topLinePunct w:val="0"/>
        <w:bidi w:val="0"/>
        <w:spacing w:line="600" w:lineRule="exact"/>
        <w:ind w:firstLine="640" w:firstLineChars="200"/>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
          <w:kern w:val="0"/>
          <w:sz w:val="32"/>
          <w:szCs w:val="32"/>
          <w:lang w:val="en-US" w:eastAsia="zh-CN" w:bidi="ar-SA"/>
        </w:rPr>
        <w:t>工业转型升级。主要包括</w:t>
      </w:r>
      <w:r>
        <w:rPr>
          <w:rFonts w:hint="eastAsia" w:ascii="仿宋_GB2312" w:hAnsi="仿宋_GB2312" w:eastAsia="仿宋_GB2312" w:cs="仿宋_GB2312"/>
          <w:color w:val="auto"/>
          <w:sz w:val="32"/>
          <w:szCs w:val="32"/>
          <w:highlight w:val="none"/>
          <w:lang w:val="en-US" w:eastAsia="zh-CN"/>
        </w:rPr>
        <w:t>淘汰落后产能、化解过剩产能，</w:t>
      </w:r>
      <w:r>
        <w:rPr>
          <w:rFonts w:hint="eastAsia" w:ascii="仿宋_GB2312" w:hAnsi="仿宋_GB2312" w:eastAsia="仿宋_GB2312" w:cs="仿宋"/>
          <w:kern w:val="0"/>
          <w:sz w:val="32"/>
          <w:szCs w:val="32"/>
          <w:highlight w:val="none"/>
          <w:lang w:val="en-US" w:eastAsia="zh-CN" w:bidi="ar-SA"/>
        </w:rPr>
        <w:t>工业</w:t>
      </w:r>
      <w:r>
        <w:rPr>
          <w:rFonts w:hint="eastAsia" w:ascii="仿宋_GB2312" w:hAnsi="仿宋_GB2312" w:eastAsia="仿宋_GB2312" w:cs="仿宋_GB2312"/>
          <w:color w:val="auto"/>
          <w:sz w:val="32"/>
          <w:szCs w:val="32"/>
          <w:highlight w:val="none"/>
        </w:rPr>
        <w:t>企业技术改造</w:t>
      </w:r>
      <w:r>
        <w:rPr>
          <w:rFonts w:hint="eastAsia" w:ascii="仿宋_GB2312" w:hAnsi="仿宋_GB2312" w:eastAsia="仿宋_GB2312" w:cs="仿宋_GB2312"/>
          <w:color w:val="auto"/>
          <w:sz w:val="32"/>
          <w:szCs w:val="32"/>
          <w:highlight w:val="none"/>
          <w:lang w:eastAsia="zh-CN"/>
        </w:rPr>
        <w:t>，传统</w:t>
      </w:r>
      <w:r>
        <w:rPr>
          <w:rFonts w:hint="eastAsia" w:ascii="仿宋_GB2312" w:hAnsi="仿宋_GB2312" w:eastAsia="仿宋_GB2312" w:cs="仿宋_GB2312"/>
          <w:color w:val="auto"/>
          <w:sz w:val="32"/>
          <w:szCs w:val="32"/>
          <w:lang w:eastAsia="zh-CN"/>
        </w:rPr>
        <w:t>产业高端化、智能化、绿色化、</w:t>
      </w:r>
      <w:r>
        <w:rPr>
          <w:rFonts w:hint="eastAsia" w:ascii="仿宋_GB2312" w:hAnsi="仿宋_GB2312" w:eastAsia="仿宋_GB2312" w:cs="仿宋_GB2312"/>
          <w:color w:val="auto"/>
          <w:sz w:val="32"/>
          <w:szCs w:val="32"/>
          <w:lang w:val="en-US" w:eastAsia="zh-CN"/>
        </w:rPr>
        <w:t>集群化、服务化</w:t>
      </w:r>
      <w:r>
        <w:rPr>
          <w:rFonts w:hint="eastAsia" w:ascii="仿宋_GB2312" w:hAnsi="仿宋_GB2312" w:eastAsia="仿宋_GB2312" w:cs="仿宋_GB2312"/>
          <w:color w:val="auto"/>
          <w:sz w:val="32"/>
          <w:szCs w:val="32"/>
          <w:lang w:eastAsia="zh-CN"/>
        </w:rPr>
        <w:t>升级，新材料、工业互联网和</w:t>
      </w:r>
      <w:r>
        <w:rPr>
          <w:rFonts w:hint="eastAsia" w:ascii="仿宋_GB2312" w:hAnsi="仿宋_GB2312" w:eastAsia="仿宋_GB2312" w:cs="仿宋_GB2312"/>
          <w:color w:val="auto"/>
          <w:sz w:val="32"/>
          <w:szCs w:val="32"/>
          <w:lang w:val="en-US" w:eastAsia="zh-CN"/>
        </w:rPr>
        <w:t>5G等新兴产业培育，</w:t>
      </w:r>
      <w:r>
        <w:rPr>
          <w:rFonts w:hint="eastAsia" w:ascii="仿宋_GB2312" w:hAnsi="仿宋_GB2312" w:eastAsia="仿宋_GB2312" w:cs="仿宋_GB2312"/>
          <w:sz w:val="32"/>
          <w:szCs w:val="32"/>
          <w:lang w:eastAsia="zh-CN"/>
        </w:rPr>
        <w:t>数字经济高质量发展</w:t>
      </w:r>
      <w:r>
        <w:rPr>
          <w:rFonts w:hint="eastAsia" w:ascii="仿宋_GB2312" w:hAnsi="仿宋_GB2312" w:eastAsia="仿宋_GB2312" w:cs="仿宋_GB2312"/>
          <w:bCs w:val="0"/>
          <w:color w:val="auto"/>
          <w:kern w:val="2"/>
          <w:sz w:val="32"/>
          <w:szCs w:val="32"/>
          <w:lang w:val="en-US" w:eastAsia="zh-CN" w:bidi="ar-SA"/>
        </w:rPr>
        <w:t>等。</w:t>
      </w:r>
    </w:p>
    <w:p>
      <w:pPr>
        <w:keepNext w:val="0"/>
        <w:keepLines w:val="0"/>
        <w:pageBreakBefore w:val="0"/>
        <w:widowControl w:val="0"/>
        <w:numPr>
          <w:ilvl w:val="0"/>
          <w:numId w:val="0"/>
        </w:numPr>
        <w:kinsoku/>
        <w:wordWrap/>
        <w:overflowPunct/>
        <w:topLinePunct w:val="0"/>
        <w:bidi w:val="0"/>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（二）工业</w:t>
      </w:r>
      <w:r>
        <w:rPr>
          <w:rFonts w:hint="eastAsia" w:ascii="仿宋_GB2312" w:hAnsi="仿宋_GB2312" w:eastAsia="仿宋_GB2312" w:cs="仿宋_GB2312"/>
          <w:color w:val="auto"/>
          <w:sz w:val="32"/>
          <w:szCs w:val="32"/>
        </w:rPr>
        <w:t>创新发展。</w:t>
      </w:r>
      <w:r>
        <w:rPr>
          <w:rFonts w:hint="eastAsia" w:ascii="仿宋_GB2312" w:hAnsi="仿宋_GB2312" w:eastAsia="仿宋_GB2312" w:cs="仿宋_GB2312"/>
          <w:color w:val="auto"/>
          <w:sz w:val="32"/>
          <w:szCs w:val="32"/>
          <w:lang w:eastAsia="zh-CN"/>
        </w:rPr>
        <w:t>主要包括</w:t>
      </w:r>
      <w:r>
        <w:rPr>
          <w:rFonts w:hint="eastAsia" w:ascii="仿宋_GB2312" w:hAnsi="仿宋_GB2312" w:eastAsia="仿宋_GB2312" w:cs="仿宋_GB2312"/>
          <w:color w:val="auto"/>
          <w:sz w:val="32"/>
          <w:szCs w:val="32"/>
        </w:rPr>
        <w:t>专精特新</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高成长</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培育，公共服务平台建设，产业集群（园区、基地）发展，</w:t>
      </w:r>
      <w:r>
        <w:rPr>
          <w:rFonts w:hint="eastAsia" w:ascii="仿宋_GB2312" w:hAnsi="仿宋_GB2312" w:eastAsia="仿宋_GB2312" w:cs="仿宋_GB2312"/>
          <w:sz w:val="32"/>
          <w:szCs w:val="32"/>
          <w:lang w:eastAsia="zh-CN"/>
        </w:rPr>
        <w:t>工业领域质量提升、品牌宣传推广</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bidi w:val="0"/>
        <w:spacing w:line="600" w:lineRule="exact"/>
        <w:ind w:firstLine="640" w:firstLineChars="200"/>
        <w:rPr>
          <w:rFonts w:hint="eastAsia" w:ascii="仿宋_GB2312" w:hAnsi="仿宋_GB2312" w:eastAsia="仿宋_GB2312" w:cs="仿宋"/>
          <w:kern w:val="0"/>
          <w:sz w:val="32"/>
          <w:szCs w:val="32"/>
          <w:lang w:val="en-US" w:eastAsia="zh-CN" w:bidi="ar-SA"/>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工业扩量提质。主要包括工业稳增长、扩投资，新兴支柱企业培育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做优做强</w:t>
      </w:r>
      <w:r>
        <w:rPr>
          <w:rFonts w:hint="eastAsia" w:ascii="仿宋_GB2312" w:hAnsi="仿宋_GB2312" w:eastAsia="仿宋_GB2312" w:cs="仿宋_GB2312"/>
          <w:color w:val="auto"/>
          <w:sz w:val="32"/>
          <w:szCs w:val="32"/>
          <w:lang w:val="en-US" w:eastAsia="zh-CN"/>
        </w:rPr>
        <w:t>产业链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优秀企业家评选等。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市委市政府、省工业和信息化厅确定的其他重点事项。</w:t>
      </w:r>
    </w:p>
    <w:p>
      <w:pPr>
        <w:pStyle w:val="9"/>
        <w:keepNext w:val="0"/>
        <w:keepLines w:val="0"/>
        <w:pageBreakBefore w:val="0"/>
        <w:widowControl w:val="0"/>
        <w:kinsoku/>
        <w:wordWrap/>
        <w:overflowPunct/>
        <w:topLinePunct w:val="0"/>
        <w:bidi w:val="0"/>
        <w:spacing w:line="600" w:lineRule="exact"/>
        <w:ind w:firstLine="643" w:firstLineChars="200"/>
        <w:jc w:val="both"/>
        <w:rPr>
          <w:rFonts w:ascii="仿宋_GB2312" w:hAnsi="仿宋_GB2312" w:eastAsia="仿宋_GB2312" w:cs="仿宋"/>
          <w:sz w:val="32"/>
          <w:szCs w:val="32"/>
        </w:rPr>
      </w:pPr>
      <w:r>
        <w:rPr>
          <w:rFonts w:hint="eastAsia" w:ascii="仿宋_GB2312" w:hAnsi="仿宋_GB2312" w:eastAsia="仿宋_GB2312" w:cs="仿宋"/>
          <w:b/>
          <w:bCs/>
          <w:sz w:val="32"/>
          <w:szCs w:val="32"/>
          <w:lang w:val="en-US" w:eastAsia="zh-CN"/>
        </w:rPr>
        <w:t>第六条</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市工业和信息化局按照市级预算编制有关要求，</w:t>
      </w:r>
      <w:r>
        <w:rPr>
          <w:rFonts w:hint="eastAsia" w:ascii="仿宋_GB2312" w:hAnsi="仿宋_GB2312" w:eastAsia="仿宋_GB2312" w:cs="仿宋"/>
          <w:sz w:val="32"/>
          <w:szCs w:val="32"/>
          <w:lang w:val="en-US" w:eastAsia="zh-CN"/>
        </w:rPr>
        <w:t>提前做好项目论证、评估和分年度资金需求测算、绩效目标设定等基础性工作，研究提出工业转型发展资金年度预算安排建议，并按轻重缓急排序，建立完善的项目库管理系统，实现全生命周期管理，未纳入预算管理一体化系统项目库的项目一律不得安排预算。</w:t>
      </w:r>
      <w:r>
        <w:rPr>
          <w:rFonts w:hint="eastAsia" w:ascii="仿宋_GB2312" w:hAnsi="仿宋_GB2312" w:eastAsia="仿宋_GB2312" w:cs="仿宋"/>
          <w:sz w:val="32"/>
          <w:szCs w:val="32"/>
        </w:rPr>
        <w:t>预算编制中，对中央、省委省政府、市委市政府确定的重大改革、重要政策和重点项目支出要应编尽编，不得出现遗漏。</w:t>
      </w:r>
    </w:p>
    <w:p>
      <w:pPr>
        <w:pStyle w:val="9"/>
        <w:keepNext w:val="0"/>
        <w:keepLines w:val="0"/>
        <w:pageBreakBefore w:val="0"/>
        <w:widowControl w:val="0"/>
        <w:kinsoku/>
        <w:wordWrap/>
        <w:overflowPunct/>
        <w:topLinePunct w:val="0"/>
        <w:bidi w:val="0"/>
        <w:spacing w:line="60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市财政局按照预算编制要求和资金管理规定，对市工业和信息化局提报的资金预算进行全面审核，综合考虑支出政策、资金需求、财力可能、上年绩效等因素，研究提出年度预算安排意见，按程序报送市人大审议批准。</w:t>
      </w:r>
    </w:p>
    <w:p>
      <w:pPr>
        <w:pStyle w:val="9"/>
        <w:keepNext w:val="0"/>
        <w:keepLines w:val="0"/>
        <w:pageBreakBefore w:val="0"/>
        <w:widowControl w:val="0"/>
        <w:kinsoku/>
        <w:wordWrap/>
        <w:overflowPunct/>
        <w:topLinePunct w:val="0"/>
        <w:bidi w:val="0"/>
        <w:spacing w:line="600" w:lineRule="exact"/>
        <w:ind w:firstLine="643" w:firstLineChars="200"/>
        <w:jc w:val="both"/>
        <w:rPr>
          <w:rFonts w:hint="eastAsia" w:ascii="仿宋_GB2312" w:hAnsi="仿宋_GB2312" w:eastAsia="仿宋_GB2312" w:cs="仿宋"/>
          <w:sz w:val="32"/>
          <w:szCs w:val="32"/>
          <w:lang w:val="en-US" w:eastAsia="zh-CN"/>
        </w:rPr>
      </w:pPr>
      <w:r>
        <w:rPr>
          <w:rFonts w:hint="eastAsia" w:ascii="仿宋_GB2312" w:hAnsi="仿宋_GB2312" w:eastAsia="仿宋_GB2312" w:cs="黑体"/>
          <w:b/>
          <w:bCs/>
          <w:sz w:val="32"/>
          <w:szCs w:val="32"/>
        </w:rPr>
        <w:t>第</w:t>
      </w:r>
      <w:r>
        <w:rPr>
          <w:rFonts w:hint="eastAsia" w:ascii="仿宋_GB2312" w:hAnsi="仿宋_GB2312" w:eastAsia="仿宋_GB2312" w:cs="黑体"/>
          <w:b/>
          <w:bCs/>
          <w:sz w:val="32"/>
          <w:szCs w:val="32"/>
          <w:lang w:val="en-US" w:eastAsia="zh-CN"/>
        </w:rPr>
        <w:t>七</w:t>
      </w:r>
      <w:r>
        <w:rPr>
          <w:rFonts w:hint="eastAsia" w:ascii="仿宋_GB2312" w:hAnsi="仿宋_GB2312" w:eastAsia="仿宋_GB2312" w:cs="黑体"/>
          <w:b/>
          <w:bCs/>
          <w:sz w:val="32"/>
          <w:szCs w:val="32"/>
        </w:rPr>
        <w:t>条</w:t>
      </w:r>
      <w:r>
        <w:rPr>
          <w:rFonts w:hint="eastAsia" w:ascii="仿宋_GB2312" w:hAnsi="仿宋_GB2312" w:eastAsia="仿宋_GB2312" w:cs="仿宋"/>
          <w:b/>
          <w:bCs/>
          <w:sz w:val="32"/>
          <w:szCs w:val="32"/>
        </w:rPr>
        <w:t> </w:t>
      </w:r>
      <w:r>
        <w:rPr>
          <w:rFonts w:hint="eastAsia" w:ascii="仿宋_GB2312" w:hAnsi="仿宋_GB2312" w:eastAsia="仿宋_GB2312" w:cs="仿宋"/>
          <w:sz w:val="32"/>
          <w:szCs w:val="32"/>
        </w:rPr>
        <w:t xml:space="preserve"> 建立重大政策和项目事前绩效评估机制。</w:t>
      </w:r>
      <w:r>
        <w:rPr>
          <w:rFonts w:hint="eastAsia" w:ascii="仿宋_GB2312" w:hAnsi="仿宋_GB2312" w:eastAsia="仿宋_GB2312" w:cs="仿宋"/>
          <w:sz w:val="32"/>
          <w:szCs w:val="32"/>
          <w:lang w:val="en-US" w:eastAsia="zh-CN"/>
        </w:rPr>
        <w:t>市工业和信息化局申请通过工业转型发展资金安排新增重大政策和项目支出预算时，应进行事前绩效评估，出具评估报告，重点对政策和项目预算设立必要性、投入经济性、绩效目标合理性、实施方案可行性、筹资合规性等进行论证评估。市财政局根据市工业和信息化局提报的预算申请、事前绩效评估报告等，对新增重大政策和项目预算进行审核，必要时可组织第三方机构独立开展绩效评估，并将评估结果作为项目入库和安排预算的必要条件。</w:t>
      </w:r>
    </w:p>
    <w:p>
      <w:pPr>
        <w:pStyle w:val="9"/>
        <w:keepNext w:val="0"/>
        <w:keepLines w:val="0"/>
        <w:pageBreakBefore w:val="0"/>
        <w:widowControl w:val="0"/>
        <w:kinsoku/>
        <w:wordWrap/>
        <w:overflowPunct/>
        <w:topLinePunct w:val="0"/>
        <w:bidi w:val="0"/>
        <w:spacing w:line="600" w:lineRule="exact"/>
        <w:ind w:firstLine="643" w:firstLineChars="200"/>
        <w:jc w:val="both"/>
        <w:rPr>
          <w:rFonts w:ascii="仿宋_GB2312" w:hAnsi="仿宋_GB2312" w:eastAsia="仿宋_GB2312" w:cs="仿宋"/>
          <w:sz w:val="32"/>
          <w:szCs w:val="32"/>
        </w:rPr>
      </w:pPr>
      <w:r>
        <w:rPr>
          <w:rFonts w:hint="eastAsia" w:ascii="仿宋_GB2312" w:hAnsi="仿宋_GB2312" w:eastAsia="仿宋_GB2312" w:cs="仿宋"/>
          <w:b/>
          <w:bCs/>
          <w:sz w:val="32"/>
          <w:szCs w:val="32"/>
          <w:lang w:val="en-US" w:eastAsia="zh-CN"/>
        </w:rPr>
        <w:t>第八条</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 xml:space="preserve"> 按照“谁申请资金，谁编制目标”的原则，市工业和信息化局</w:t>
      </w:r>
      <w:r>
        <w:rPr>
          <w:rFonts w:hint="eastAsia" w:ascii="仿宋_GB2312" w:hAnsi="仿宋_GB2312" w:eastAsia="仿宋_GB2312" w:cs="仿宋"/>
          <w:sz w:val="32"/>
          <w:szCs w:val="32"/>
          <w:lang w:eastAsia="zh-CN"/>
        </w:rPr>
        <w:t>要健全绩效目标编报机制。在编制</w:t>
      </w:r>
      <w:r>
        <w:rPr>
          <w:rFonts w:hint="eastAsia" w:ascii="仿宋_GB2312" w:hAnsi="仿宋_GB2312" w:eastAsia="仿宋_GB2312" w:cs="仿宋"/>
          <w:sz w:val="32"/>
          <w:szCs w:val="32"/>
          <w:lang w:val="en-US" w:eastAsia="zh-CN"/>
        </w:rPr>
        <w:t>专项</w:t>
      </w:r>
      <w:r>
        <w:rPr>
          <w:rFonts w:hint="eastAsia" w:ascii="仿宋_GB2312" w:hAnsi="仿宋_GB2312" w:eastAsia="仿宋_GB2312" w:cs="仿宋"/>
          <w:sz w:val="32"/>
          <w:szCs w:val="32"/>
          <w:lang w:eastAsia="zh-CN"/>
        </w:rPr>
        <w:t>资金任务清单时同步组织项目实施单位编制绩效目标，并进行审核。重点依据部门职责，</w:t>
      </w:r>
      <w:r>
        <w:rPr>
          <w:rFonts w:hint="eastAsia" w:ascii="仿宋_GB2312" w:hAnsi="仿宋_GB2312" w:eastAsia="仿宋_GB2312" w:cs="仿宋"/>
          <w:sz w:val="32"/>
          <w:szCs w:val="32"/>
        </w:rPr>
        <w:t>从预期产出、预期效果和服务对象满意度等方面，合理</w:t>
      </w:r>
      <w:r>
        <w:rPr>
          <w:rFonts w:hint="eastAsia" w:ascii="仿宋_GB2312" w:hAnsi="仿宋_GB2312" w:eastAsia="仿宋_GB2312" w:cs="仿宋"/>
          <w:sz w:val="32"/>
          <w:szCs w:val="32"/>
          <w:lang w:eastAsia="zh-CN"/>
        </w:rPr>
        <w:t>确定</w:t>
      </w:r>
      <w:r>
        <w:rPr>
          <w:rFonts w:hint="eastAsia" w:ascii="仿宋_GB2312" w:hAnsi="仿宋_GB2312" w:eastAsia="仿宋_GB2312" w:cs="仿宋"/>
          <w:sz w:val="32"/>
          <w:szCs w:val="32"/>
        </w:rPr>
        <w:t>绩效目标，</w:t>
      </w:r>
      <w:r>
        <w:rPr>
          <w:rFonts w:hint="eastAsia" w:ascii="仿宋_GB2312" w:hAnsi="仿宋_GB2312" w:eastAsia="仿宋_GB2312" w:cs="仿宋"/>
          <w:sz w:val="32"/>
          <w:szCs w:val="32"/>
          <w:lang w:eastAsia="zh-CN"/>
        </w:rPr>
        <w:t>设置绩效指标和标准，确保可量化、可评估，</w:t>
      </w:r>
      <w:r>
        <w:rPr>
          <w:rFonts w:hint="eastAsia" w:ascii="仿宋_GB2312" w:hAnsi="仿宋_GB2312" w:eastAsia="仿宋_GB2312" w:cs="仿宋"/>
          <w:sz w:val="32"/>
          <w:szCs w:val="32"/>
        </w:rPr>
        <w:t>并</w:t>
      </w:r>
      <w:r>
        <w:rPr>
          <w:rFonts w:hint="eastAsia" w:ascii="仿宋_GB2312" w:hAnsi="仿宋_GB2312" w:eastAsia="仿宋_GB2312" w:cs="仿宋"/>
          <w:sz w:val="32"/>
          <w:szCs w:val="32"/>
          <w:lang w:eastAsia="zh-CN"/>
        </w:rPr>
        <w:t>将其</w:t>
      </w:r>
      <w:r>
        <w:rPr>
          <w:rFonts w:hint="eastAsia" w:ascii="仿宋_GB2312" w:hAnsi="仿宋_GB2312" w:eastAsia="仿宋_GB2312" w:cs="仿宋"/>
          <w:sz w:val="32"/>
          <w:szCs w:val="32"/>
        </w:rPr>
        <w:t>作为预算</w:t>
      </w:r>
      <w:r>
        <w:rPr>
          <w:rFonts w:hint="eastAsia" w:ascii="仿宋_GB2312" w:hAnsi="仿宋_GB2312" w:eastAsia="仿宋_GB2312" w:cs="仿宋"/>
          <w:sz w:val="32"/>
          <w:szCs w:val="32"/>
          <w:lang w:eastAsia="zh-CN"/>
        </w:rPr>
        <w:t>申请</w:t>
      </w:r>
      <w:r>
        <w:rPr>
          <w:rFonts w:hint="eastAsia" w:ascii="仿宋_GB2312" w:hAnsi="仿宋_GB2312" w:eastAsia="仿宋_GB2312" w:cs="仿宋"/>
          <w:sz w:val="32"/>
          <w:szCs w:val="32"/>
        </w:rPr>
        <w:t>前置条件。</w:t>
      </w:r>
    </w:p>
    <w:p>
      <w:pPr>
        <w:pStyle w:val="9"/>
        <w:keepNext w:val="0"/>
        <w:keepLines w:val="0"/>
        <w:pageBreakBefore w:val="0"/>
        <w:widowControl w:val="0"/>
        <w:kinsoku/>
        <w:wordWrap/>
        <w:overflowPunct/>
        <w:topLinePunct w:val="0"/>
        <w:bidi w:val="0"/>
        <w:spacing w:line="600" w:lineRule="exact"/>
        <w:ind w:firstLine="643" w:firstLineChars="200"/>
        <w:jc w:val="both"/>
        <w:rPr>
          <w:rFonts w:hint="eastAsia" w:ascii="仿宋_GB2312" w:hAnsi="仿宋_GB2312" w:eastAsia="仿宋_GB2312" w:cs="仿宋"/>
          <w:sz w:val="32"/>
          <w:szCs w:val="32"/>
        </w:rPr>
      </w:pPr>
      <w:r>
        <w:rPr>
          <w:rFonts w:hint="eastAsia" w:ascii="仿宋_GB2312" w:hAnsi="仿宋_GB2312" w:eastAsia="仿宋_GB2312" w:cs="黑体"/>
          <w:b/>
          <w:bCs/>
          <w:sz w:val="32"/>
          <w:szCs w:val="32"/>
        </w:rPr>
        <w:t>第</w:t>
      </w:r>
      <w:r>
        <w:rPr>
          <w:rFonts w:hint="eastAsia" w:ascii="仿宋_GB2312" w:hAnsi="仿宋_GB2312" w:eastAsia="仿宋_GB2312" w:cs="黑体"/>
          <w:b/>
          <w:bCs/>
          <w:sz w:val="32"/>
          <w:szCs w:val="32"/>
          <w:lang w:val="en-US" w:eastAsia="zh-CN"/>
        </w:rPr>
        <w:t>九</w:t>
      </w:r>
      <w:r>
        <w:rPr>
          <w:rFonts w:hint="eastAsia" w:ascii="仿宋_GB2312" w:hAnsi="仿宋_GB2312" w:eastAsia="仿宋_GB2312" w:cs="黑体"/>
          <w:b/>
          <w:bCs/>
          <w:sz w:val="32"/>
          <w:szCs w:val="32"/>
        </w:rPr>
        <w:t>条</w:t>
      </w:r>
      <w:r>
        <w:rPr>
          <w:rFonts w:hint="eastAsia" w:ascii="仿宋_GB2312" w:hAnsi="仿宋_GB2312" w:eastAsia="仿宋_GB2312" w:cs="仿宋"/>
          <w:sz w:val="32"/>
          <w:szCs w:val="32"/>
        </w:rPr>
        <w:t>  工业转型发展资金实行任务清单管理</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明确每项任务的具体支出事项、资金规模、绩效目标等内容。根据任务内容不同，将任务清单划分为约束性任务和指导性任务。任务清单与资金同步下达。</w:t>
      </w:r>
    </w:p>
    <w:p>
      <w:pPr>
        <w:pStyle w:val="9"/>
        <w:keepNext w:val="0"/>
        <w:keepLines w:val="0"/>
        <w:pageBreakBefore w:val="0"/>
        <w:widowControl w:val="0"/>
        <w:kinsoku/>
        <w:wordWrap/>
        <w:overflowPunct/>
        <w:topLinePunct w:val="0"/>
        <w:bidi w:val="0"/>
        <w:spacing w:line="600" w:lineRule="exact"/>
        <w:ind w:firstLine="643" w:firstLineChars="200"/>
        <w:jc w:val="both"/>
        <w:rPr>
          <w:rFonts w:hint="eastAsia" w:ascii="仿宋_GB2312" w:hAnsi="仿宋_GB2312" w:eastAsia="仿宋_GB2312" w:cs="仿宋"/>
          <w:sz w:val="32"/>
          <w:szCs w:val="32"/>
          <w:highlight w:val="none"/>
          <w:lang w:eastAsia="zh-CN"/>
        </w:rPr>
      </w:pPr>
      <w:r>
        <w:rPr>
          <w:rFonts w:hint="eastAsia" w:ascii="仿宋_GB2312" w:hAnsi="仿宋_GB2312" w:eastAsia="仿宋_GB2312" w:cs="黑体"/>
          <w:b/>
          <w:bCs/>
          <w:sz w:val="32"/>
          <w:szCs w:val="32"/>
          <w:highlight w:val="none"/>
        </w:rPr>
        <w:t>第</w:t>
      </w:r>
      <w:r>
        <w:rPr>
          <w:rFonts w:hint="eastAsia" w:ascii="仿宋_GB2312" w:hAnsi="仿宋_GB2312" w:eastAsia="仿宋_GB2312" w:cs="黑体"/>
          <w:b/>
          <w:bCs/>
          <w:sz w:val="32"/>
          <w:szCs w:val="32"/>
          <w:highlight w:val="none"/>
          <w:lang w:val="en-US" w:eastAsia="zh-CN"/>
        </w:rPr>
        <w:t>十</w:t>
      </w:r>
      <w:r>
        <w:rPr>
          <w:rFonts w:hint="eastAsia" w:ascii="仿宋_GB2312" w:hAnsi="仿宋_GB2312" w:eastAsia="仿宋_GB2312" w:cs="黑体"/>
          <w:b/>
          <w:bCs/>
          <w:sz w:val="32"/>
          <w:szCs w:val="32"/>
          <w:highlight w:val="none"/>
        </w:rPr>
        <w:t>条</w:t>
      </w:r>
      <w:r>
        <w:rPr>
          <w:rFonts w:hint="eastAsia" w:ascii="仿宋_GB2312" w:hAnsi="仿宋_GB2312" w:eastAsia="仿宋_GB2312" w:cs="仿宋"/>
          <w:b/>
          <w:bCs/>
          <w:sz w:val="32"/>
          <w:szCs w:val="32"/>
          <w:highlight w:val="none"/>
        </w:rPr>
        <w:t xml:space="preserve">  </w:t>
      </w:r>
      <w:r>
        <w:rPr>
          <w:rFonts w:hint="eastAsia" w:ascii="仿宋_GB2312" w:hAnsi="仿宋_GB2312" w:eastAsia="仿宋_GB2312" w:cs="仿宋"/>
          <w:sz w:val="32"/>
          <w:szCs w:val="32"/>
          <w:highlight w:val="none"/>
        </w:rPr>
        <w:t>属于政府采购范畴的货物、服务和工程项目，以及纳入政府购买服务目录的服务项目，应当同时编制政府采购预算及政府购买服务计划。市级对地方的补助资金，按照当地政府集中采购目录和限额标准要求执行，不列入市级政府采购预算及购买服务计划编制范围。</w:t>
      </w:r>
    </w:p>
    <w:p>
      <w:pPr>
        <w:pStyle w:val="9"/>
        <w:keepNext w:val="0"/>
        <w:keepLines w:val="0"/>
        <w:pageBreakBefore w:val="0"/>
        <w:widowControl w:val="0"/>
        <w:kinsoku/>
        <w:wordWrap/>
        <w:overflowPunct/>
        <w:topLinePunct w:val="0"/>
        <w:bidi w:val="0"/>
        <w:spacing w:line="600" w:lineRule="exact"/>
        <w:ind w:firstLine="640" w:firstLineChars="200"/>
        <w:jc w:val="both"/>
        <w:rPr>
          <w:rFonts w:hint="eastAsia" w:ascii="仿宋_GB2312" w:hAnsi="仿宋_GB2312" w:eastAsia="仿宋_GB2312" w:cs="仿宋"/>
          <w:sz w:val="32"/>
          <w:szCs w:val="32"/>
          <w:highlight w:val="none"/>
          <w:lang w:eastAsia="zh-CN"/>
        </w:rPr>
      </w:pPr>
    </w:p>
    <w:p>
      <w:pPr>
        <w:pStyle w:val="9"/>
        <w:keepNext w:val="0"/>
        <w:keepLines w:val="0"/>
        <w:pageBreakBefore w:val="0"/>
        <w:widowControl w:val="0"/>
        <w:kinsoku/>
        <w:wordWrap/>
        <w:overflowPunct/>
        <w:topLinePunct w:val="0"/>
        <w:bidi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预算执行</w:t>
      </w:r>
    </w:p>
    <w:p>
      <w:pPr>
        <w:pStyle w:val="9"/>
        <w:keepNext w:val="0"/>
        <w:keepLines w:val="0"/>
        <w:pageBreakBefore w:val="0"/>
        <w:widowControl w:val="0"/>
        <w:kinsoku/>
        <w:wordWrap/>
        <w:overflowPunct/>
        <w:topLinePunct w:val="0"/>
        <w:bidi w:val="0"/>
        <w:spacing w:line="600" w:lineRule="exact"/>
        <w:ind w:firstLine="450"/>
        <w:jc w:val="center"/>
        <w:rPr>
          <w:rFonts w:hint="eastAsia" w:ascii="黑体" w:hAnsi="黑体" w:eastAsia="黑体" w:cs="黑体"/>
          <w:sz w:val="32"/>
          <w:szCs w:val="32"/>
        </w:rPr>
      </w:pPr>
    </w:p>
    <w:p>
      <w:pPr>
        <w:pStyle w:val="9"/>
        <w:keepNext w:val="0"/>
        <w:keepLines w:val="0"/>
        <w:pageBreakBefore w:val="0"/>
        <w:widowControl w:val="0"/>
        <w:kinsoku/>
        <w:wordWrap/>
        <w:overflowPunct/>
        <w:topLinePunct w:val="0"/>
        <w:bidi w:val="0"/>
        <w:spacing w:line="600" w:lineRule="exact"/>
        <w:ind w:firstLine="643" w:firstLineChars="200"/>
        <w:jc w:val="both"/>
        <w:rPr>
          <w:rFonts w:hint="default" w:ascii="仿宋_GB2312" w:hAnsi="仿宋_GB2312" w:eastAsia="仿宋_GB2312" w:cs="仿宋"/>
          <w:sz w:val="32"/>
          <w:szCs w:val="32"/>
          <w:lang w:val="en-US" w:eastAsia="zh-CN"/>
        </w:rPr>
      </w:pPr>
      <w:r>
        <w:rPr>
          <w:rFonts w:hint="eastAsia" w:ascii="仿宋_GB2312" w:hAnsi="仿宋_GB2312" w:eastAsia="仿宋_GB2312" w:cs="黑体"/>
          <w:b/>
          <w:bCs/>
          <w:sz w:val="32"/>
          <w:szCs w:val="32"/>
        </w:rPr>
        <w:t>第十</w:t>
      </w:r>
      <w:r>
        <w:rPr>
          <w:rFonts w:hint="eastAsia" w:ascii="仿宋_GB2312" w:hAnsi="仿宋_GB2312" w:eastAsia="仿宋_GB2312" w:cs="黑体"/>
          <w:b/>
          <w:bCs/>
          <w:sz w:val="32"/>
          <w:szCs w:val="32"/>
          <w:lang w:val="en-US" w:eastAsia="zh-CN"/>
        </w:rPr>
        <w:t>一</w:t>
      </w:r>
      <w:r>
        <w:rPr>
          <w:rFonts w:hint="eastAsia" w:ascii="仿宋_GB2312" w:hAnsi="仿宋_GB2312" w:eastAsia="仿宋_GB2312" w:cs="黑体"/>
          <w:b/>
          <w:bCs/>
          <w:sz w:val="32"/>
          <w:szCs w:val="32"/>
        </w:rPr>
        <w:t>条</w:t>
      </w:r>
      <w:r>
        <w:rPr>
          <w:rFonts w:hint="eastAsia" w:ascii="仿宋_GB2312" w:hAnsi="仿宋_GB2312" w:eastAsia="仿宋_GB2312" w:cs="仿宋"/>
          <w:b/>
          <w:bCs/>
          <w:sz w:val="32"/>
          <w:szCs w:val="32"/>
        </w:rPr>
        <w:t> </w:t>
      </w:r>
      <w:r>
        <w:rPr>
          <w:rFonts w:hint="eastAsia" w:ascii="仿宋_GB2312" w:hAnsi="仿宋_GB2312" w:eastAsia="仿宋_GB2312" w:cs="仿宋"/>
          <w:sz w:val="32"/>
          <w:szCs w:val="32"/>
        </w:rPr>
        <w:t xml:space="preserve"> 市人代会审查批准市级预算后，市工业和信息化局根据年度工作重点任务，科学确定分配因素和权重，研究</w:t>
      </w:r>
      <w:r>
        <w:rPr>
          <w:rFonts w:hint="eastAsia" w:ascii="仿宋_GB2312" w:hAnsi="仿宋_GB2312" w:eastAsia="仿宋_GB2312" w:cs="仿宋"/>
          <w:sz w:val="32"/>
          <w:szCs w:val="32"/>
          <w:lang w:eastAsia="zh-CN"/>
        </w:rPr>
        <w:t>制定</w:t>
      </w:r>
      <w:r>
        <w:rPr>
          <w:rFonts w:hint="eastAsia" w:ascii="仿宋_GB2312" w:hAnsi="仿宋_GB2312" w:eastAsia="仿宋_GB2312" w:cs="仿宋"/>
          <w:sz w:val="32"/>
          <w:szCs w:val="32"/>
        </w:rPr>
        <w:t>资金分配</w:t>
      </w:r>
      <w:r>
        <w:rPr>
          <w:rFonts w:hint="eastAsia" w:ascii="仿宋_GB2312" w:hAnsi="仿宋_GB2312" w:eastAsia="仿宋_GB2312" w:cs="仿宋"/>
          <w:sz w:val="32"/>
          <w:szCs w:val="32"/>
          <w:lang w:eastAsia="zh-CN"/>
        </w:rPr>
        <w:t>方案</w:t>
      </w:r>
      <w:r>
        <w:rPr>
          <w:rFonts w:hint="eastAsia" w:ascii="仿宋_GB2312" w:hAnsi="仿宋_GB2312" w:eastAsia="仿宋_GB2312" w:cs="仿宋"/>
          <w:sz w:val="32"/>
          <w:szCs w:val="32"/>
        </w:rPr>
        <w:t>，按照“三重一大”要求经党组会议集体研究后，在规定时限内以公函形式报送市财政局。市财政局对资金分配意见进行合规性审核，按程序下达预算指标分配文件，同步下达绩效目标或提出绩效目标编报</w:t>
      </w:r>
      <w:r>
        <w:rPr>
          <w:rFonts w:hint="eastAsia" w:ascii="仿宋_GB2312" w:hAnsi="仿宋_GB2312" w:eastAsia="仿宋_GB2312" w:cs="仿宋"/>
          <w:sz w:val="32"/>
          <w:szCs w:val="32"/>
          <w:lang w:val="en-US" w:eastAsia="zh-CN"/>
        </w:rPr>
        <w:t>要求。市财政局合规性审核主要是对程序合法性、政策合规性、资金分配合理性及绩效目标规范性进行审核。资金支付按照国库集中支付、政府采购、政府购买服务等有关规定执行。市工业和信息化局可根据需要同步下达项目实施计划。</w:t>
      </w:r>
    </w:p>
    <w:p>
      <w:pPr>
        <w:pStyle w:val="9"/>
        <w:keepNext w:val="0"/>
        <w:keepLines w:val="0"/>
        <w:pageBreakBefore w:val="0"/>
        <w:widowControl w:val="0"/>
        <w:numPr>
          <w:ilvl w:val="0"/>
          <w:numId w:val="2"/>
        </w:numPr>
        <w:kinsoku/>
        <w:wordWrap/>
        <w:overflowPunct/>
        <w:topLinePunct w:val="0"/>
        <w:bidi w:val="0"/>
        <w:spacing w:line="600" w:lineRule="exact"/>
        <w:ind w:firstLine="640" w:firstLineChars="200"/>
        <w:jc w:val="both"/>
        <w:rPr>
          <w:rFonts w:hint="eastAsia" w:ascii="仿宋_GB2312" w:hAnsi="仿宋_GB2312" w:eastAsia="仿宋_GB2312" w:cs="仿宋"/>
          <w:sz w:val="32"/>
          <w:szCs w:val="32"/>
        </w:rPr>
      </w:pPr>
      <w:r>
        <w:rPr>
          <w:rFonts w:hint="eastAsia" w:ascii="仿宋_GB2312" w:hAnsi="仿宋_GB2312" w:eastAsia="仿宋_GB2312" w:cs="仿宋"/>
          <w:sz w:val="32"/>
          <w:szCs w:val="32"/>
        </w:rPr>
        <w:t> 除国家、省和市规定的共同财政事权外，</w:t>
      </w:r>
      <w:r>
        <w:rPr>
          <w:rFonts w:hint="eastAsia" w:ascii="仿宋_GB2312" w:hAnsi="仿宋_GB2312" w:eastAsia="仿宋_GB2312" w:cs="仿宋"/>
          <w:sz w:val="32"/>
          <w:szCs w:val="32"/>
          <w:lang w:eastAsia="zh-CN"/>
        </w:rPr>
        <w:t>市县</w:t>
      </w:r>
      <w:r>
        <w:rPr>
          <w:rFonts w:hint="eastAsia" w:ascii="仿宋_GB2312" w:hAnsi="仿宋_GB2312" w:eastAsia="仿宋_GB2312" w:cs="仿宋"/>
          <w:sz w:val="32"/>
          <w:szCs w:val="32"/>
        </w:rPr>
        <w:t>不得要求乡镇（街道）安排配套资金，不得将乡镇（街道）投入情况作为资金分配的前置条件。</w:t>
      </w:r>
    </w:p>
    <w:p>
      <w:pPr>
        <w:pStyle w:val="9"/>
        <w:keepNext w:val="0"/>
        <w:keepLines w:val="0"/>
        <w:pageBreakBefore w:val="0"/>
        <w:widowControl w:val="0"/>
        <w:numPr>
          <w:ilvl w:val="0"/>
          <w:numId w:val="2"/>
        </w:numPr>
        <w:kinsoku/>
        <w:wordWrap/>
        <w:overflowPunct/>
        <w:topLinePunct w:val="0"/>
        <w:bidi w:val="0"/>
        <w:spacing w:line="60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工业转型发展资金按照财政国库管理制度有关规定拨付，原则上应于当年形成支出。结转和结余资金按照财政</w:t>
      </w:r>
      <w:r>
        <w:rPr>
          <w:rFonts w:hint="eastAsia" w:ascii="仿宋_GB2312" w:hAnsi="仿宋_GB2312" w:eastAsia="仿宋_GB2312" w:cs="仿宋"/>
          <w:sz w:val="32"/>
          <w:szCs w:val="32"/>
          <w:lang w:val="en-US" w:eastAsia="zh-CN"/>
        </w:rPr>
        <w:t>部门</w:t>
      </w:r>
      <w:r>
        <w:rPr>
          <w:rFonts w:hint="eastAsia" w:ascii="仿宋_GB2312" w:hAnsi="仿宋_GB2312" w:eastAsia="仿宋_GB2312" w:cs="仿宋"/>
          <w:sz w:val="32"/>
          <w:szCs w:val="32"/>
        </w:rPr>
        <w:t>有关管理规定执行。</w:t>
      </w:r>
    </w:p>
    <w:p>
      <w:pPr>
        <w:pStyle w:val="9"/>
        <w:keepNext w:val="0"/>
        <w:keepLines w:val="0"/>
        <w:pageBreakBefore w:val="0"/>
        <w:widowControl w:val="0"/>
        <w:kinsoku/>
        <w:wordWrap/>
        <w:overflowPunct/>
        <w:topLinePunct w:val="0"/>
        <w:bidi w:val="0"/>
        <w:spacing w:line="600" w:lineRule="exact"/>
        <w:ind w:firstLine="640" w:firstLineChars="200"/>
        <w:jc w:val="both"/>
        <w:rPr>
          <w:rFonts w:hint="eastAsia" w:ascii="仿宋_GB2312" w:hAnsi="仿宋_GB2312" w:eastAsia="仿宋_GB2312" w:cs="仿宋"/>
          <w:sz w:val="32"/>
          <w:szCs w:val="32"/>
        </w:rPr>
      </w:pPr>
    </w:p>
    <w:p>
      <w:pPr>
        <w:pStyle w:val="9"/>
        <w:keepNext w:val="0"/>
        <w:keepLines w:val="0"/>
        <w:pageBreakBefore w:val="0"/>
        <w:widowControl w:val="0"/>
        <w:kinsoku/>
        <w:wordWrap/>
        <w:overflowPunct/>
        <w:topLinePunct w:val="0"/>
        <w:bidi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监督管理</w:t>
      </w:r>
    </w:p>
    <w:p>
      <w:pPr>
        <w:pStyle w:val="9"/>
        <w:keepNext w:val="0"/>
        <w:keepLines w:val="0"/>
        <w:pageBreakBefore w:val="0"/>
        <w:widowControl w:val="0"/>
        <w:kinsoku/>
        <w:wordWrap/>
        <w:overflowPunct/>
        <w:topLinePunct w:val="0"/>
        <w:bidi w:val="0"/>
        <w:spacing w:line="600" w:lineRule="exact"/>
        <w:ind w:firstLine="450"/>
        <w:jc w:val="center"/>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
          <w:sz w:val="32"/>
          <w:szCs w:val="32"/>
          <w:lang w:val="en-US" w:eastAsia="zh-CN"/>
        </w:rPr>
      </w:pPr>
      <w:r>
        <w:rPr>
          <w:rFonts w:hint="eastAsia" w:ascii="仿宋_GB2312" w:hAnsi="仿宋_GB2312" w:eastAsia="仿宋_GB2312" w:cs="黑体"/>
          <w:b/>
          <w:bCs/>
          <w:sz w:val="32"/>
          <w:szCs w:val="32"/>
        </w:rPr>
        <w:t>第十</w:t>
      </w:r>
      <w:r>
        <w:rPr>
          <w:rFonts w:hint="eastAsia" w:ascii="仿宋_GB2312" w:hAnsi="仿宋_GB2312" w:eastAsia="仿宋_GB2312" w:cs="黑体"/>
          <w:b/>
          <w:bCs/>
          <w:sz w:val="32"/>
          <w:szCs w:val="32"/>
          <w:lang w:eastAsia="zh-CN"/>
        </w:rPr>
        <w:t>四</w:t>
      </w:r>
      <w:r>
        <w:rPr>
          <w:rFonts w:hint="eastAsia" w:ascii="仿宋_GB2312" w:hAnsi="仿宋_GB2312" w:eastAsia="仿宋_GB2312" w:cs="黑体"/>
          <w:b/>
          <w:bCs/>
          <w:sz w:val="32"/>
          <w:szCs w:val="32"/>
        </w:rPr>
        <w:t>条</w:t>
      </w:r>
      <w:r>
        <w:rPr>
          <w:rFonts w:hint="eastAsia" w:ascii="仿宋_GB2312" w:hAnsi="仿宋_GB2312" w:eastAsia="仿宋_GB2312" w:cs="仿宋"/>
          <w:sz w:val="32"/>
          <w:szCs w:val="32"/>
        </w:rPr>
        <w:t> 市工业和信息化局</w:t>
      </w:r>
      <w:r>
        <w:rPr>
          <w:rFonts w:hint="eastAsia" w:ascii="仿宋_GB2312" w:hAnsi="仿宋_GB2312" w:eastAsia="仿宋_GB2312" w:cs="仿宋"/>
          <w:sz w:val="32"/>
          <w:szCs w:val="32"/>
          <w:lang w:val="en-US" w:eastAsia="zh-CN"/>
        </w:rPr>
        <w:t>要加快预算执行进度，严格按照资金管理办法以及财务管理等相关规定使用资金。要确保专款专用，不得挤占、挪用，不得任意改变资金用途和扩大使用范围，不得虚假列支，不得任意变更预算支出科目。年度执行中确需调整预算和绩效目标的，应当按照预算管理有关规定报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
          <w:sz w:val="32"/>
          <w:szCs w:val="32"/>
          <w:lang w:val="en-US" w:eastAsia="zh-CN"/>
        </w:rPr>
      </w:pPr>
      <w:r>
        <w:rPr>
          <w:rFonts w:hint="eastAsia" w:ascii="仿宋_GB2312" w:hAnsi="仿宋_GB2312" w:eastAsia="仿宋_GB2312" w:cs="仿宋"/>
          <w:b/>
          <w:bCs/>
          <w:sz w:val="32"/>
          <w:szCs w:val="32"/>
          <w:lang w:val="en-US" w:eastAsia="zh-CN"/>
        </w:rPr>
        <w:t>第十五条</w:t>
      </w:r>
      <w:r>
        <w:rPr>
          <w:rFonts w:hint="eastAsia" w:ascii="黑体" w:hAnsi="黑体" w:eastAsia="黑体" w:cs="黑体"/>
          <w:sz w:val="32"/>
          <w:szCs w:val="32"/>
        </w:rPr>
        <w:t xml:space="preserve">  </w:t>
      </w:r>
      <w:r>
        <w:rPr>
          <w:rFonts w:hint="eastAsia" w:ascii="仿宋_GB2312" w:hAnsi="仿宋_GB2312" w:eastAsia="仿宋_GB2312" w:cs="仿宋"/>
          <w:sz w:val="32"/>
          <w:szCs w:val="32"/>
          <w:lang w:val="en-US" w:eastAsia="zh-CN"/>
        </w:rPr>
        <w:t>市工业和信息化局是绩效运行监控的责任主体，应对绩效目标实现程度和预算执行进度实行“双监控”。要重点选择支出进度缓慢、管理基础薄弱的项目开展绩效运行监控，并不断强化对重大政策、项目的重点监控，动态掌握政策和项目进展，以及资金使用和绩效目标完成情况，对监控发现的问题和绩效目标偏差，及时采取有针对性的措施予以纠正。市财政局根据管理需要开展重点监控，对发现资金使用中存在的问题和绩效目标执行中的偏差，及时进行整改，对问题严重的，暂缓或停止拨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
          <w:sz w:val="32"/>
          <w:szCs w:val="32"/>
          <w:lang w:val="en-US" w:eastAsia="zh-CN"/>
        </w:rPr>
      </w:pPr>
      <w:r>
        <w:rPr>
          <w:rFonts w:hint="eastAsia" w:ascii="仿宋_GB2312" w:hAnsi="仿宋_GB2312" w:eastAsia="仿宋_GB2312" w:cs="仿宋"/>
          <w:b/>
          <w:bCs/>
          <w:sz w:val="32"/>
          <w:szCs w:val="32"/>
          <w:lang w:val="en-US" w:eastAsia="zh-CN"/>
        </w:rPr>
        <w:t>第十六条</w:t>
      </w:r>
      <w:r>
        <w:rPr>
          <w:rFonts w:hint="eastAsia" w:ascii="黑体" w:hAnsi="黑体" w:eastAsia="黑体" w:cs="黑体"/>
          <w:sz w:val="32"/>
          <w:szCs w:val="32"/>
        </w:rPr>
        <w:t xml:space="preserve">  </w:t>
      </w:r>
      <w:r>
        <w:rPr>
          <w:rFonts w:hint="eastAsia" w:ascii="仿宋_GB2312" w:hAnsi="仿宋_GB2312" w:eastAsia="仿宋_GB2312" w:cs="仿宋"/>
          <w:sz w:val="32"/>
          <w:szCs w:val="32"/>
          <w:lang w:val="en-US" w:eastAsia="zh-CN"/>
        </w:rPr>
        <w:t>年度预算执行完毕后，市工业和信息化局组织项目实施单位按照事先确定的绩效目标进行绩效自评，撰写专项资金绩效自评报告，报送市财政局。市工业和信息化局、市财政局根据管理需要对工业转型发展资金进行重点评价，绩效评价结果作为以后年度资金安排和分配的重要依据。</w:t>
      </w:r>
    </w:p>
    <w:p>
      <w:pPr>
        <w:pStyle w:val="9"/>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
          <w:sz w:val="32"/>
          <w:szCs w:val="32"/>
        </w:rPr>
      </w:pPr>
      <w:r>
        <w:rPr>
          <w:rFonts w:hint="eastAsia" w:ascii="仿宋_GB2312" w:hAnsi="仿宋_GB2312" w:eastAsia="仿宋_GB2312" w:cs="黑体"/>
          <w:b/>
          <w:bCs/>
          <w:sz w:val="32"/>
          <w:szCs w:val="32"/>
        </w:rPr>
        <w:t>第十</w:t>
      </w:r>
      <w:r>
        <w:rPr>
          <w:rFonts w:hint="eastAsia" w:ascii="仿宋_GB2312" w:hAnsi="仿宋_GB2312" w:eastAsia="仿宋_GB2312" w:cs="黑体"/>
          <w:b/>
          <w:bCs/>
          <w:sz w:val="32"/>
          <w:szCs w:val="32"/>
          <w:lang w:val="en-US" w:eastAsia="zh-CN"/>
        </w:rPr>
        <w:t>七</w:t>
      </w:r>
      <w:r>
        <w:rPr>
          <w:rFonts w:hint="eastAsia" w:ascii="仿宋_GB2312" w:hAnsi="仿宋_GB2312" w:eastAsia="仿宋_GB2312" w:cs="黑体"/>
          <w:b/>
          <w:bCs/>
          <w:sz w:val="32"/>
          <w:szCs w:val="32"/>
        </w:rPr>
        <w:t>条</w:t>
      </w:r>
      <w:r>
        <w:rPr>
          <w:rFonts w:hint="eastAsia" w:ascii="仿宋_GB2312" w:hAnsi="仿宋_GB2312" w:eastAsia="仿宋_GB2312" w:cs="仿宋"/>
          <w:b/>
          <w:bCs/>
          <w:sz w:val="32"/>
          <w:szCs w:val="32"/>
        </w:rPr>
        <w:t> </w:t>
      </w:r>
      <w:r>
        <w:rPr>
          <w:rFonts w:hint="eastAsia" w:ascii="仿宋_GB2312" w:hAnsi="仿宋_GB2312" w:eastAsia="仿宋_GB2312" w:cs="仿宋"/>
          <w:sz w:val="32"/>
          <w:szCs w:val="32"/>
        </w:rPr>
        <w:t xml:space="preserve"> 市财政局、市工业和信息化局按照“谁主管、谁负责、谁公开”的原则，</w:t>
      </w:r>
      <w:r>
        <w:rPr>
          <w:rFonts w:hint="eastAsia" w:ascii="仿宋_GB2312" w:hAnsi="仿宋_GB2312" w:eastAsia="仿宋_GB2312" w:cs="仿宋"/>
          <w:sz w:val="32"/>
          <w:szCs w:val="32"/>
          <w:lang w:val="en-US" w:eastAsia="zh-CN"/>
        </w:rPr>
        <w:t>建立健全专项资金信息公开机制，自觉接受社会监督。其中：市财政局</w:t>
      </w:r>
      <w:r>
        <w:rPr>
          <w:rFonts w:hint="eastAsia" w:ascii="仿宋_GB2312" w:hAnsi="仿宋_GB2312" w:eastAsia="仿宋_GB2312" w:cs="仿宋"/>
          <w:sz w:val="32"/>
          <w:szCs w:val="32"/>
        </w:rPr>
        <w:t>负责公开资金管理</w:t>
      </w:r>
      <w:r>
        <w:rPr>
          <w:rFonts w:hint="eastAsia" w:ascii="仿宋_GB2312" w:hAnsi="仿宋_GB2312" w:eastAsia="仿宋_GB2312" w:cs="仿宋"/>
          <w:sz w:val="32"/>
          <w:szCs w:val="32"/>
          <w:lang w:val="en-US" w:eastAsia="zh-CN"/>
        </w:rPr>
        <w:t>办法、</w:t>
      </w:r>
      <w:r>
        <w:rPr>
          <w:rFonts w:hint="eastAsia" w:ascii="仿宋_GB2312" w:hAnsi="仿宋_GB2312" w:eastAsia="仿宋_GB2312" w:cs="仿宋"/>
          <w:sz w:val="32"/>
          <w:szCs w:val="32"/>
        </w:rPr>
        <w:t>财政重点绩效评价结果</w:t>
      </w:r>
      <w:r>
        <w:rPr>
          <w:rFonts w:hint="eastAsia" w:ascii="仿宋_GB2312" w:hAnsi="仿宋_GB2312" w:eastAsia="仿宋_GB2312" w:cs="仿宋"/>
          <w:sz w:val="32"/>
          <w:szCs w:val="32"/>
          <w:lang w:val="en-US" w:eastAsia="zh-CN"/>
        </w:rPr>
        <w:t>等</w:t>
      </w:r>
      <w:r>
        <w:rPr>
          <w:rFonts w:hint="eastAsia" w:ascii="仿宋_GB2312" w:hAnsi="仿宋_GB2312" w:eastAsia="仿宋_GB2312" w:cs="仿宋"/>
          <w:sz w:val="32"/>
          <w:szCs w:val="32"/>
        </w:rPr>
        <w:t>；市工业和信息化局</w:t>
      </w:r>
      <w:r>
        <w:rPr>
          <w:rFonts w:hint="eastAsia" w:ascii="仿宋_GB2312" w:hAnsi="仿宋_GB2312" w:eastAsia="仿宋_GB2312" w:cs="仿宋"/>
          <w:sz w:val="32"/>
          <w:szCs w:val="32"/>
          <w:lang w:val="en-US" w:eastAsia="zh-CN"/>
        </w:rPr>
        <w:t>主要</w:t>
      </w:r>
      <w:r>
        <w:rPr>
          <w:rFonts w:hint="eastAsia" w:ascii="仿宋_GB2312" w:hAnsi="仿宋_GB2312" w:eastAsia="仿宋_GB2312" w:cs="仿宋"/>
          <w:sz w:val="32"/>
          <w:szCs w:val="32"/>
        </w:rPr>
        <w:t>负责公开具体支出政策、项目申报指南、资金分配结果</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lang w:val="en-US" w:eastAsia="zh-CN"/>
        </w:rPr>
        <w:t>相关绩效信息</w:t>
      </w:r>
      <w:r>
        <w:rPr>
          <w:rFonts w:hint="eastAsia" w:ascii="仿宋_GB2312" w:hAnsi="仿宋_GB2312" w:eastAsia="仿宋_GB2312" w:cs="仿宋"/>
          <w:sz w:val="32"/>
          <w:szCs w:val="32"/>
        </w:rPr>
        <w:t>等。</w:t>
      </w:r>
    </w:p>
    <w:p>
      <w:pPr>
        <w:pStyle w:val="9"/>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
          <w:sz w:val="32"/>
          <w:szCs w:val="32"/>
        </w:rPr>
      </w:pPr>
      <w:r>
        <w:rPr>
          <w:rFonts w:hint="eastAsia" w:ascii="仿宋_GB2312" w:hAnsi="仿宋_GB2312" w:eastAsia="仿宋_GB2312" w:cs="仿宋"/>
          <w:b/>
          <w:bCs/>
          <w:sz w:val="32"/>
          <w:szCs w:val="32"/>
          <w:lang w:val="en-US" w:eastAsia="zh-CN"/>
        </w:rPr>
        <w:t>第十八条</w:t>
      </w:r>
      <w:r>
        <w:rPr>
          <w:rFonts w:hint="eastAsia" w:ascii="黑体" w:hAnsi="黑体" w:eastAsia="黑体" w:cs="黑体"/>
          <w:sz w:val="32"/>
          <w:szCs w:val="32"/>
        </w:rPr>
        <w:t xml:space="preserve">  </w:t>
      </w:r>
      <w:r>
        <w:rPr>
          <w:rFonts w:hint="eastAsia" w:ascii="仿宋_GB2312" w:hAnsi="仿宋_GB2312" w:eastAsia="仿宋_GB2312" w:cs="仿宋"/>
          <w:sz w:val="32"/>
          <w:szCs w:val="32"/>
        </w:rPr>
        <w:t>项目实施单位</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lang w:val="en-US" w:eastAsia="zh-CN"/>
        </w:rPr>
        <w:t>企业）</w:t>
      </w:r>
      <w:r>
        <w:rPr>
          <w:rFonts w:hint="eastAsia" w:ascii="仿宋_GB2312" w:hAnsi="仿宋_GB2312" w:eastAsia="仿宋_GB2312" w:cs="仿宋"/>
          <w:sz w:val="32"/>
          <w:szCs w:val="32"/>
        </w:rPr>
        <w:t>对申报材料的真实性、准确性、完整性负责，对资金的合法合规使用，以及项目实施进度、实施效果承担直接主体责任。</w:t>
      </w:r>
    </w:p>
    <w:p>
      <w:pPr>
        <w:pStyle w:val="9"/>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
          <w:sz w:val="32"/>
          <w:szCs w:val="32"/>
        </w:rPr>
      </w:pPr>
      <w:r>
        <w:rPr>
          <w:rFonts w:hint="eastAsia" w:ascii="仿宋_GB2312" w:hAnsi="仿宋_GB2312" w:eastAsia="仿宋_GB2312" w:cs="黑体"/>
          <w:b/>
          <w:bCs/>
          <w:sz w:val="32"/>
          <w:szCs w:val="32"/>
        </w:rPr>
        <w:t>第十</w:t>
      </w:r>
      <w:r>
        <w:rPr>
          <w:rFonts w:hint="eastAsia" w:ascii="仿宋_GB2312" w:hAnsi="仿宋_GB2312" w:eastAsia="仿宋_GB2312" w:cs="黑体"/>
          <w:b/>
          <w:bCs/>
          <w:sz w:val="32"/>
          <w:szCs w:val="32"/>
          <w:lang w:val="en-US" w:eastAsia="zh-CN"/>
        </w:rPr>
        <w:t>九</w:t>
      </w:r>
      <w:r>
        <w:rPr>
          <w:rFonts w:hint="eastAsia" w:ascii="仿宋_GB2312" w:hAnsi="仿宋_GB2312" w:eastAsia="仿宋_GB2312" w:cs="黑体"/>
          <w:b/>
          <w:bCs/>
          <w:sz w:val="32"/>
          <w:szCs w:val="32"/>
        </w:rPr>
        <w:t>条</w:t>
      </w:r>
      <w:r>
        <w:rPr>
          <w:rFonts w:hint="eastAsia" w:ascii="仿宋_GB2312" w:hAnsi="仿宋_GB2312" w:eastAsia="仿宋_GB2312" w:cs="仿宋"/>
          <w:b/>
          <w:bCs/>
          <w:sz w:val="32"/>
          <w:szCs w:val="32"/>
        </w:rPr>
        <w:t> </w:t>
      </w:r>
      <w:r>
        <w:rPr>
          <w:rFonts w:hint="eastAsia" w:ascii="仿宋_GB2312" w:hAnsi="仿宋_GB2312" w:eastAsia="仿宋_GB2312" w:cs="仿宋"/>
          <w:sz w:val="32"/>
          <w:szCs w:val="32"/>
        </w:rPr>
        <w:t xml:space="preserve"> </w:t>
      </w:r>
      <w:r>
        <w:rPr>
          <w:rFonts w:hint="eastAsia" w:ascii="仿宋_GB2312" w:hAnsi="仿宋_GB2312" w:eastAsia="仿宋_GB2312" w:cs="仿宋"/>
          <w:sz w:val="32"/>
          <w:szCs w:val="32"/>
          <w:lang w:eastAsia="zh-CN"/>
        </w:rPr>
        <w:t>市县</w:t>
      </w:r>
      <w:r>
        <w:rPr>
          <w:rFonts w:hint="eastAsia" w:ascii="仿宋_GB2312" w:hAnsi="仿宋_GB2312" w:eastAsia="仿宋_GB2312" w:cs="仿宋"/>
          <w:sz w:val="32"/>
          <w:szCs w:val="32"/>
          <w:lang w:val="en-US" w:eastAsia="zh-CN"/>
        </w:rPr>
        <w:t>工业和信息化</w:t>
      </w:r>
      <w:r>
        <w:rPr>
          <w:rFonts w:hint="eastAsia" w:ascii="仿宋_GB2312" w:hAnsi="仿宋_GB2312" w:eastAsia="仿宋_GB2312" w:cs="仿宋"/>
          <w:sz w:val="32"/>
          <w:szCs w:val="32"/>
          <w:lang w:eastAsia="zh-CN"/>
        </w:rPr>
        <w:t>主管</w:t>
      </w:r>
      <w:r>
        <w:rPr>
          <w:rFonts w:hint="eastAsia" w:ascii="仿宋_GB2312" w:hAnsi="仿宋_GB2312" w:eastAsia="仿宋_GB2312" w:cs="仿宋"/>
          <w:sz w:val="32"/>
          <w:szCs w:val="32"/>
          <w:lang w:val="en-US" w:eastAsia="zh-CN"/>
        </w:rPr>
        <w:t>部门</w:t>
      </w:r>
      <w:r>
        <w:rPr>
          <w:rFonts w:hint="eastAsia" w:ascii="仿宋_GB2312" w:hAnsi="仿宋_GB2312" w:eastAsia="仿宋_GB2312" w:cs="仿宋"/>
          <w:sz w:val="32"/>
          <w:szCs w:val="32"/>
          <w:lang w:eastAsia="zh-CN"/>
        </w:rPr>
        <w:t>应对工业转型发展资金申报材料进行审核把关，对其合规性、完整性负责，并加强对工业转型发展资金支持项目的全过程监管，保证项目建设顺利实施。</w:t>
      </w:r>
      <w:r>
        <w:rPr>
          <w:rFonts w:hint="eastAsia" w:ascii="仿宋_GB2312" w:hAnsi="仿宋_GB2312" w:eastAsia="仿宋_GB2312" w:cs="仿宋"/>
          <w:sz w:val="32"/>
          <w:szCs w:val="32"/>
        </w:rPr>
        <w:t>各级财政部门、</w:t>
      </w:r>
      <w:r>
        <w:rPr>
          <w:rFonts w:hint="eastAsia" w:ascii="仿宋_GB2312" w:hAnsi="仿宋_GB2312" w:eastAsia="仿宋_GB2312" w:cs="仿宋"/>
          <w:sz w:val="32"/>
          <w:szCs w:val="32"/>
          <w:lang w:val="en-US" w:eastAsia="zh-CN"/>
        </w:rPr>
        <w:t>工业和信息化</w:t>
      </w:r>
      <w:r>
        <w:rPr>
          <w:rFonts w:hint="eastAsia" w:ascii="仿宋_GB2312" w:hAnsi="仿宋_GB2312" w:eastAsia="仿宋_GB2312" w:cs="仿宋"/>
          <w:sz w:val="32"/>
          <w:szCs w:val="32"/>
        </w:rPr>
        <w:t>部门要主动接受人大、纪检监察、审计等方面的监督。对在各项审计和监督检查中发现存在违规违纪问题的，按照《中华人民共和国预算法》《中华人民共和国公务员法》《财政违法行为处罚处分条例》（国务院令第427号）等国家有关规定，追究相应责任；涉嫌犯罪的，移送司法机关处理。</w:t>
      </w:r>
    </w:p>
    <w:p>
      <w:pPr>
        <w:pStyle w:val="9"/>
        <w:keepNext w:val="0"/>
        <w:keepLines w:val="0"/>
        <w:pageBreakBefore w:val="0"/>
        <w:widowControl w:val="0"/>
        <w:numPr>
          <w:ilvl w:val="-1"/>
          <w:numId w:val="0"/>
        </w:numPr>
        <w:kinsoku/>
        <w:wordWrap/>
        <w:overflowPunct/>
        <w:topLinePunct w:val="0"/>
        <w:bidi w:val="0"/>
        <w:spacing w:line="600" w:lineRule="exact"/>
        <w:ind w:firstLine="643" w:firstLineChars="200"/>
        <w:jc w:val="both"/>
        <w:rPr>
          <w:rFonts w:hint="eastAsia" w:ascii="仿宋_GB2312" w:hAnsi="仿宋_GB2312" w:eastAsia="仿宋_GB2312" w:cs="仿宋"/>
          <w:sz w:val="32"/>
          <w:szCs w:val="32"/>
        </w:rPr>
      </w:pPr>
      <w:r>
        <w:rPr>
          <w:rFonts w:hint="eastAsia" w:ascii="仿宋_GB2312" w:hAnsi="仿宋_GB2312" w:eastAsia="仿宋_GB2312" w:cs="仿宋"/>
          <w:b/>
          <w:bCs/>
          <w:sz w:val="32"/>
          <w:szCs w:val="32"/>
          <w:lang w:eastAsia="zh-CN"/>
        </w:rPr>
        <w:t>第</w:t>
      </w:r>
      <w:r>
        <w:rPr>
          <w:rFonts w:hint="eastAsia" w:ascii="仿宋_GB2312" w:hAnsi="仿宋_GB2312" w:eastAsia="仿宋_GB2312" w:cs="仿宋"/>
          <w:b/>
          <w:bCs/>
          <w:sz w:val="32"/>
          <w:szCs w:val="32"/>
          <w:lang w:val="en-US" w:eastAsia="zh-CN"/>
        </w:rPr>
        <w:t>二十</w:t>
      </w:r>
      <w:r>
        <w:rPr>
          <w:rFonts w:hint="eastAsia" w:ascii="仿宋_GB2312" w:hAnsi="仿宋_GB2312" w:eastAsia="仿宋_GB2312" w:cs="仿宋"/>
          <w:b/>
          <w:bCs/>
          <w:sz w:val="32"/>
          <w:szCs w:val="32"/>
          <w:lang w:eastAsia="zh-CN"/>
        </w:rPr>
        <w:t>条</w:t>
      </w:r>
      <w:r>
        <w:rPr>
          <w:rFonts w:hint="eastAsia" w:ascii="黑体" w:hAnsi="黑体" w:eastAsia="黑体" w:cs="黑体"/>
          <w:sz w:val="32"/>
          <w:szCs w:val="32"/>
        </w:rPr>
        <w:t xml:space="preserve">  </w:t>
      </w:r>
      <w:r>
        <w:rPr>
          <w:rFonts w:hint="eastAsia" w:ascii="仿宋_GB2312" w:hAnsi="仿宋_GB2312" w:eastAsia="仿宋_GB2312" w:cs="仿宋"/>
          <w:sz w:val="32"/>
          <w:szCs w:val="32"/>
        </w:rPr>
        <w:t>因资金扶持项目市场变化、自然灾害等难以预料、不可控制因素的影响出现缓建、停建、竣工验收未通过、未达预期绩效等情形，对于履职尽责，严格按照工作程序评定项目，手续齐全、资料完备、无重大疏漏的有关部门工作人员不认定有错或给予必要容错。</w:t>
      </w:r>
    </w:p>
    <w:p>
      <w:pPr>
        <w:pStyle w:val="9"/>
        <w:keepNext w:val="0"/>
        <w:keepLines w:val="0"/>
        <w:pageBreakBefore w:val="0"/>
        <w:widowControl w:val="0"/>
        <w:numPr>
          <w:ilvl w:val="-1"/>
          <w:numId w:val="0"/>
        </w:numPr>
        <w:kinsoku/>
        <w:wordWrap/>
        <w:overflowPunct/>
        <w:topLinePunct w:val="0"/>
        <w:bidi w:val="0"/>
        <w:spacing w:line="600" w:lineRule="exact"/>
        <w:ind w:firstLine="0" w:firstLineChars="0"/>
        <w:jc w:val="both"/>
        <w:rPr>
          <w:rFonts w:hint="eastAsia" w:ascii="仿宋_GB2312" w:hAnsi="仿宋_GB2312" w:eastAsia="仿宋_GB2312" w:cs="仿宋"/>
          <w:sz w:val="32"/>
          <w:szCs w:val="32"/>
        </w:rPr>
      </w:pPr>
    </w:p>
    <w:p>
      <w:pPr>
        <w:pStyle w:val="9"/>
        <w:keepNext w:val="0"/>
        <w:keepLines w:val="0"/>
        <w:pageBreakBefore w:val="0"/>
        <w:widowControl w:val="0"/>
        <w:kinsoku/>
        <w:wordWrap/>
        <w:overflowPunct/>
        <w:topLinePunct w:val="0"/>
        <w:bidi w:val="0"/>
        <w:spacing w:line="600" w:lineRule="exact"/>
        <w:ind w:firstLine="450"/>
        <w:jc w:val="center"/>
        <w:rPr>
          <w:rFonts w:hint="eastAsia" w:ascii="黑体" w:hAnsi="黑体" w:eastAsia="黑体" w:cs="黑体"/>
          <w:sz w:val="32"/>
          <w:szCs w:val="32"/>
        </w:rPr>
      </w:pPr>
      <w:r>
        <w:rPr>
          <w:rFonts w:hint="eastAsia" w:ascii="黑体" w:hAnsi="黑体" w:eastAsia="黑体" w:cs="黑体"/>
          <w:sz w:val="32"/>
          <w:szCs w:val="32"/>
        </w:rPr>
        <w:t>第五章  附  则</w:t>
      </w:r>
    </w:p>
    <w:p>
      <w:pPr>
        <w:pStyle w:val="9"/>
        <w:keepNext w:val="0"/>
        <w:keepLines w:val="0"/>
        <w:pageBreakBefore w:val="0"/>
        <w:widowControl w:val="0"/>
        <w:kinsoku/>
        <w:wordWrap/>
        <w:overflowPunct/>
        <w:topLinePunct w:val="0"/>
        <w:bidi w:val="0"/>
        <w:spacing w:line="600" w:lineRule="exact"/>
        <w:ind w:firstLine="450"/>
        <w:jc w:val="center"/>
        <w:rPr>
          <w:rFonts w:hint="eastAsia" w:ascii="黑体" w:hAnsi="黑体" w:eastAsia="黑体" w:cs="黑体"/>
          <w:sz w:val="32"/>
          <w:szCs w:val="32"/>
        </w:rPr>
      </w:pPr>
    </w:p>
    <w:p>
      <w:pPr>
        <w:pStyle w:val="9"/>
        <w:keepNext w:val="0"/>
        <w:keepLines w:val="0"/>
        <w:pageBreakBefore w:val="0"/>
        <w:widowControl w:val="0"/>
        <w:shd w:val="solid" w:color="FFFFFF" w:fill="auto"/>
        <w:kinsoku/>
        <w:wordWrap/>
        <w:overflowPunct/>
        <w:topLinePunct w:val="0"/>
        <w:autoSpaceDN w:val="0"/>
        <w:bidi w:val="0"/>
        <w:spacing w:line="600" w:lineRule="exact"/>
        <w:ind w:firstLine="643" w:firstLineChars="200"/>
        <w:rPr>
          <w:rFonts w:hint="eastAsia" w:ascii="仿宋_GB2312" w:hAnsi="仿宋_GB2312" w:eastAsia="仿宋_GB2312" w:cs="仿宋"/>
          <w:kern w:val="0"/>
          <w:sz w:val="32"/>
          <w:szCs w:val="32"/>
        </w:rPr>
      </w:pPr>
      <w:r>
        <w:rPr>
          <w:rFonts w:hint="eastAsia" w:ascii="仿宋_GB2312" w:hAnsi="仿宋_GB2312" w:eastAsia="仿宋_GB2312" w:cs="仿宋"/>
          <w:b/>
          <w:bCs/>
          <w:kern w:val="0"/>
          <w:sz w:val="32"/>
          <w:szCs w:val="32"/>
        </w:rPr>
        <w:t>第</w:t>
      </w:r>
      <w:r>
        <w:rPr>
          <w:rFonts w:hint="eastAsia" w:ascii="仿宋_GB2312" w:hAnsi="仿宋_GB2312" w:eastAsia="仿宋_GB2312" w:cs="仿宋"/>
          <w:b/>
          <w:bCs/>
          <w:kern w:val="0"/>
          <w:sz w:val="32"/>
          <w:szCs w:val="32"/>
          <w:lang w:val="en-US" w:eastAsia="zh-CN"/>
        </w:rPr>
        <w:t>二十一</w:t>
      </w:r>
      <w:r>
        <w:rPr>
          <w:rFonts w:hint="eastAsia" w:ascii="仿宋_GB2312" w:hAnsi="仿宋_GB2312" w:eastAsia="仿宋_GB2312" w:cs="仿宋"/>
          <w:b/>
          <w:bCs/>
          <w:kern w:val="0"/>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
          <w:sz w:val="32"/>
          <w:szCs w:val="32"/>
        </w:rPr>
        <w:t>市工业和信息化局可</w:t>
      </w:r>
      <w:r>
        <w:rPr>
          <w:rFonts w:hint="eastAsia" w:ascii="仿宋_GB2312" w:hAnsi="仿宋_GB2312" w:eastAsia="仿宋_GB2312" w:cs="仿宋"/>
          <w:sz w:val="32"/>
          <w:szCs w:val="32"/>
          <w:lang w:eastAsia="zh-CN"/>
        </w:rPr>
        <w:t>依据本办法，</w:t>
      </w:r>
      <w:r>
        <w:rPr>
          <w:rFonts w:hint="eastAsia" w:ascii="仿宋_GB2312" w:hAnsi="仿宋_GB2312" w:eastAsia="仿宋_GB2312" w:cs="仿宋"/>
          <w:sz w:val="32"/>
          <w:szCs w:val="32"/>
        </w:rPr>
        <w:t>结合管理需要和支出事项，制定</w:t>
      </w:r>
      <w:r>
        <w:rPr>
          <w:rFonts w:hint="eastAsia" w:ascii="仿宋_GB2312" w:hAnsi="仿宋_GB2312" w:eastAsia="仿宋_GB2312" w:cs="仿宋"/>
          <w:sz w:val="32"/>
          <w:szCs w:val="32"/>
          <w:lang w:eastAsia="zh-CN"/>
        </w:rPr>
        <w:t>具体的</w:t>
      </w:r>
      <w:r>
        <w:rPr>
          <w:rFonts w:hint="eastAsia" w:ascii="仿宋_GB2312" w:hAnsi="仿宋_GB2312" w:eastAsia="仿宋_GB2312" w:cs="仿宋"/>
          <w:sz w:val="32"/>
          <w:szCs w:val="32"/>
        </w:rPr>
        <w:t>资金管理实施细则</w:t>
      </w:r>
      <w:r>
        <w:rPr>
          <w:rFonts w:hint="eastAsia" w:ascii="仿宋_GB2312" w:hAnsi="仿宋_GB2312" w:eastAsia="仿宋_GB2312" w:cs="仿宋"/>
          <w:sz w:val="32"/>
          <w:szCs w:val="32"/>
          <w:lang w:eastAsia="zh-CN"/>
        </w:rPr>
        <w:t>或在申报指南中明确奖补标准</w:t>
      </w:r>
      <w:r>
        <w:rPr>
          <w:rFonts w:hint="eastAsia" w:ascii="仿宋_GB2312" w:hAnsi="仿宋_GB2312" w:eastAsia="仿宋_GB2312" w:cs="仿宋"/>
          <w:sz w:val="32"/>
          <w:szCs w:val="32"/>
        </w:rPr>
        <w:t>。</w:t>
      </w:r>
    </w:p>
    <w:p>
      <w:pPr>
        <w:keepNext w:val="0"/>
        <w:keepLines w:val="0"/>
        <w:pageBreakBefore w:val="0"/>
        <w:widowControl w:val="0"/>
        <w:kinsoku/>
        <w:wordWrap/>
        <w:overflowPunct/>
        <w:topLinePunct w:val="0"/>
        <w:bidi w:val="0"/>
        <w:spacing w:line="600" w:lineRule="exact"/>
        <w:ind w:firstLine="643" w:firstLineChars="200"/>
        <w:rPr>
          <w:rFonts w:hint="eastAsia"/>
        </w:rPr>
      </w:pPr>
      <w:r>
        <w:rPr>
          <w:rFonts w:hint="eastAsia" w:ascii="仿宋_GB2312" w:hAnsi="仿宋_GB2312" w:eastAsia="仿宋_GB2312" w:cs="仿宋"/>
          <w:b/>
          <w:bCs/>
          <w:kern w:val="0"/>
          <w:sz w:val="32"/>
          <w:szCs w:val="32"/>
        </w:rPr>
        <w:t>第二十</w:t>
      </w:r>
      <w:r>
        <w:rPr>
          <w:rFonts w:hint="eastAsia" w:ascii="仿宋_GB2312" w:hAnsi="仿宋_GB2312" w:eastAsia="仿宋_GB2312" w:cs="仿宋"/>
          <w:b/>
          <w:bCs/>
          <w:kern w:val="0"/>
          <w:sz w:val="32"/>
          <w:szCs w:val="32"/>
          <w:lang w:val="en-US" w:eastAsia="zh-CN"/>
        </w:rPr>
        <w:t>二</w:t>
      </w:r>
      <w:r>
        <w:rPr>
          <w:rFonts w:hint="eastAsia" w:ascii="仿宋_GB2312" w:hAnsi="仿宋_GB2312" w:eastAsia="仿宋_GB2312" w:cs="仿宋"/>
          <w:b/>
          <w:bCs/>
          <w:kern w:val="0"/>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
          <w:sz w:val="32"/>
          <w:szCs w:val="32"/>
        </w:rPr>
        <w:t>本办法自202</w:t>
      </w:r>
      <w:r>
        <w:rPr>
          <w:rFonts w:hint="eastAsia" w:ascii="仿宋_GB2312" w:hAnsi="仿宋_GB2312" w:eastAsia="仿宋_GB2312" w:cs="仿宋"/>
          <w:sz w:val="32"/>
          <w:szCs w:val="32"/>
          <w:lang w:val="en-US" w:eastAsia="zh-CN"/>
        </w:rPr>
        <w:t>3</w:t>
      </w:r>
      <w:r>
        <w:rPr>
          <w:rFonts w:hint="eastAsia" w:ascii="仿宋_GB2312" w:hAnsi="仿宋_GB2312" w:eastAsia="仿宋_GB2312" w:cs="仿宋"/>
          <w:sz w:val="32"/>
          <w:szCs w:val="32"/>
        </w:rPr>
        <w:t>年</w:t>
      </w:r>
      <w:r>
        <w:rPr>
          <w:rFonts w:hint="eastAsia" w:ascii="仿宋_GB2312" w:hAnsi="仿宋_GB2312" w:eastAsia="仿宋_GB2312" w:cs="仿宋"/>
          <w:sz w:val="32"/>
          <w:szCs w:val="32"/>
          <w:lang w:val="en-US" w:eastAsia="zh-CN"/>
        </w:rPr>
        <w:t>11</w:t>
      </w:r>
      <w:r>
        <w:rPr>
          <w:rFonts w:hint="eastAsia" w:ascii="仿宋_GB2312" w:hAnsi="仿宋_GB2312" w:eastAsia="仿宋_GB2312" w:cs="仿宋"/>
          <w:sz w:val="32"/>
          <w:szCs w:val="32"/>
        </w:rPr>
        <w:t>月</w:t>
      </w:r>
      <w:r>
        <w:rPr>
          <w:rFonts w:hint="eastAsia" w:ascii="仿宋_GB2312" w:hAnsi="仿宋_GB2312" w:eastAsia="仿宋_GB2312" w:cs="仿宋"/>
          <w:sz w:val="32"/>
          <w:szCs w:val="32"/>
          <w:lang w:val="en-US" w:eastAsia="zh-CN"/>
        </w:rPr>
        <w:t>30</w:t>
      </w:r>
      <w:r>
        <w:rPr>
          <w:rFonts w:hint="eastAsia" w:ascii="仿宋_GB2312" w:hAnsi="仿宋_GB2312" w:eastAsia="仿宋_GB2312" w:cs="仿宋"/>
          <w:sz w:val="32"/>
          <w:szCs w:val="32"/>
        </w:rPr>
        <w:t>日起施行，有效期至202</w:t>
      </w:r>
      <w:r>
        <w:rPr>
          <w:rFonts w:hint="eastAsia" w:ascii="仿宋_GB2312" w:hAnsi="仿宋_GB2312" w:eastAsia="仿宋_GB2312" w:cs="仿宋"/>
          <w:sz w:val="32"/>
          <w:szCs w:val="32"/>
          <w:lang w:val="en-US" w:eastAsia="zh-CN"/>
        </w:rPr>
        <w:t>6</w:t>
      </w:r>
      <w:r>
        <w:rPr>
          <w:rFonts w:hint="eastAsia" w:ascii="仿宋_GB2312" w:hAnsi="仿宋_GB2312" w:eastAsia="仿宋_GB2312" w:cs="仿宋"/>
          <w:sz w:val="32"/>
          <w:szCs w:val="32"/>
        </w:rPr>
        <w:t>年</w:t>
      </w:r>
      <w:r>
        <w:rPr>
          <w:rFonts w:hint="eastAsia" w:ascii="仿宋_GB2312" w:hAnsi="仿宋_GB2312" w:eastAsia="仿宋_GB2312" w:cs="仿宋"/>
          <w:sz w:val="32"/>
          <w:szCs w:val="32"/>
          <w:lang w:val="en-US" w:eastAsia="zh-CN"/>
        </w:rPr>
        <w:t>11</w:t>
      </w:r>
      <w:r>
        <w:rPr>
          <w:rFonts w:hint="eastAsia" w:ascii="仿宋_GB2312" w:hAnsi="仿宋_GB2312" w:eastAsia="仿宋_GB2312" w:cs="仿宋"/>
          <w:sz w:val="32"/>
          <w:szCs w:val="32"/>
        </w:rPr>
        <w:t>月</w:t>
      </w:r>
      <w:r>
        <w:rPr>
          <w:rFonts w:hint="eastAsia" w:ascii="仿宋_GB2312" w:hAnsi="仿宋_GB2312" w:eastAsia="仿宋_GB2312" w:cs="仿宋"/>
          <w:sz w:val="32"/>
          <w:szCs w:val="32"/>
          <w:lang w:val="en-US" w:eastAsia="zh-CN"/>
        </w:rPr>
        <w:t>29</w:t>
      </w:r>
      <w:r>
        <w:rPr>
          <w:rFonts w:hint="eastAsia" w:ascii="仿宋_GB2312" w:hAnsi="仿宋_GB2312" w:eastAsia="仿宋_GB2312" w:cs="仿宋"/>
          <w:sz w:val="32"/>
          <w:szCs w:val="32"/>
        </w:rPr>
        <w:t>日。</w:t>
      </w:r>
      <w:bookmarkStart w:id="0" w:name="_GoBack"/>
      <w:bookmarkEnd w:id="0"/>
    </w:p>
    <w:p>
      <w:pPr>
        <w:keepNext w:val="0"/>
        <w:keepLines w:val="0"/>
        <w:pageBreakBefore w:val="0"/>
        <w:widowControl w:val="0"/>
        <w:kinsoku/>
        <w:wordWrap/>
        <w:overflowPunct/>
        <w:topLinePunct w:val="0"/>
        <w:bidi w:val="0"/>
        <w:spacing w:line="600" w:lineRule="exact"/>
        <w:rPr>
          <w:rFonts w:ascii="方正小标宋简体" w:eastAsia="方正小标宋简体"/>
          <w:sz w:val="28"/>
          <w:szCs w:val="28"/>
        </w:rPr>
      </w:pPr>
      <w:r>
        <w:rPr>
          <w:rFonts w:hint="eastAsia" w:ascii="黑体" w:hAnsi="黑体" w:eastAsia="黑体"/>
          <w:sz w:val="28"/>
          <w:szCs w:val="28"/>
        </w:rPr>
        <w:t>信息公开选项</w:t>
      </w:r>
      <w:r>
        <w:rPr>
          <w:rFonts w:hint="eastAsia"/>
          <w:sz w:val="28"/>
          <w:szCs w:val="28"/>
        </w:rPr>
        <w:t>：</w:t>
      </w:r>
      <w:r>
        <w:rPr>
          <w:rFonts w:hint="eastAsia" w:ascii="方正小标宋简体" w:eastAsia="方正小标宋简体"/>
          <w:sz w:val="28"/>
          <w:szCs w:val="28"/>
          <w:lang w:eastAsia="zh-CN"/>
        </w:rPr>
        <w:t>主动</w:t>
      </w:r>
      <w:r>
        <w:rPr>
          <w:rFonts w:hint="eastAsia" w:ascii="方正小标宋简体" w:eastAsia="方正小标宋简体"/>
          <w:sz w:val="28"/>
          <w:szCs w:val="28"/>
        </w:rPr>
        <w:t>公开</w:t>
      </w:r>
    </w:p>
    <w:p>
      <w:pPr>
        <w:spacing w:line="600" w:lineRule="exact"/>
        <w:rPr>
          <w:rFonts w:hint="eastAsia" w:ascii="仿宋_GB2312" w:hAnsi="仿宋_GB2312" w:eastAsia="仿宋_GB2312" w:cs="仿宋_GB2312"/>
          <w:sz w:val="28"/>
          <w:szCs w:val="28"/>
        </w:rPr>
        <w:sectPr>
          <w:footerReference r:id="rId3" w:type="default"/>
          <w:pgSz w:w="11906" w:h="16838"/>
          <w:pgMar w:top="1701" w:right="1701" w:bottom="1701" w:left="1701" w:header="851" w:footer="992" w:gutter="0"/>
          <w:cols w:space="425" w:num="1"/>
          <w:docGrid w:type="lines" w:linePitch="312" w:charSpace="0"/>
        </w:sectPr>
      </w:pPr>
      <w:r>
        <w:rPr>
          <w:rFonts w:hint="eastAsia" w:ascii="仿宋_GB2312" w:hAnsi="仿宋_GB2312" w:eastAsia="仿宋_GB2312" w:cs="仿宋_GB2312"/>
          <w:sz w:val="28"/>
          <w:szCs w:val="28"/>
        </w:rPr>
        <w:pict>
          <v:shape id="_x0000_s2052" o:spid="_x0000_s2052" o:spt="32" type="#_x0000_t32" style="position:absolute;left:0pt;margin-left:1.05pt;margin-top:2.4pt;height:0pt;width:421.15pt;z-index:251663360;mso-width-relative:page;mso-height-relative:page;" o:connectortype="straight" filled="f" coordsize="21600,21600">
            <v:path arrowok="t"/>
            <v:fill on="f" focussize="0,0"/>
            <v:stroke/>
            <v:imagedata o:title=""/>
            <o:lock v:ext="edit"/>
          </v:shape>
        </w:pic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pict>
          <v:shape id="_x0000_s2053" o:spid="_x0000_s2053" o:spt="32" type="#_x0000_t32" style="position:absolute;left:0pt;margin-left:1.05pt;margin-top:32.85pt;height:0.05pt;width:421.15pt;z-index:251664384;mso-width-relative:page;mso-height-relative:page;" o:connectortype="straight" filled="f" coordsize="21600,21600">
            <v:path arrowok="t"/>
            <v:fill on="f" focussize="0,0"/>
            <v:stroke/>
            <v:imagedata o:title=""/>
            <o:lock v:ext="edit"/>
          </v:shape>
        </w:pict>
      </w:r>
      <w:r>
        <w:rPr>
          <w:rFonts w:hint="eastAsia" w:ascii="仿宋_GB2312" w:hAnsi="仿宋_GB2312" w:eastAsia="仿宋_GB2312" w:cs="仿宋_GB2312"/>
          <w:sz w:val="28"/>
          <w:szCs w:val="28"/>
        </w:rPr>
        <w:pict>
          <v:shape id="_x0000_s2054" o:spid="_x0000_s2054" o:spt="32" type="#_x0000_t32" style="position:absolute;left:0pt;margin-left:1.05pt;margin-top:2.25pt;height:0pt;width:421.15pt;z-index:251662336;mso-width-relative:page;mso-height-relative:page;" o:connectortype="straight" filled="f" coordsize="21600,21600">
            <v:path arrowok="t"/>
            <v:fill on="f" focussize="0,0"/>
            <v:stroke/>
            <v:imagedata o:title=""/>
            <o:lock v:ext="edit"/>
          </v:shape>
        </w:pict>
      </w:r>
      <w:r>
        <w:rPr>
          <w:rFonts w:hint="eastAsia" w:ascii="仿宋_GB2312" w:hAnsi="仿宋_GB2312" w:eastAsia="仿宋_GB2312" w:cs="仿宋_GB2312"/>
          <w:sz w:val="28"/>
          <w:szCs w:val="28"/>
        </w:rPr>
        <w:t xml:space="preserve">聊城市财政局工商贸易科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2023年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p>
      <w:pPr>
        <w:pStyle w:val="2"/>
        <w:ind w:left="0" w:leftChars="0" w:firstLine="0" w:firstLineChars="0"/>
      </w:pPr>
    </w:p>
    <w:sectPr>
      <w:footerReference r:id="rId4"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amp;quo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7365139"/>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12.1pt;height:28.2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D23C8"/>
    <w:multiLevelType w:val="singleLevel"/>
    <w:tmpl w:val="A18D23C8"/>
    <w:lvl w:ilvl="0" w:tentative="0">
      <w:start w:val="12"/>
      <w:numFmt w:val="chineseCounting"/>
      <w:suff w:val="space"/>
      <w:lvlText w:val="第%1条"/>
      <w:lvlJc w:val="left"/>
      <w:rPr>
        <w:rFonts w:hint="eastAsia"/>
        <w:b/>
        <w:bCs/>
      </w:rPr>
    </w:lvl>
  </w:abstractNum>
  <w:abstractNum w:abstractNumId="1">
    <w:nsid w:val="285C20FB"/>
    <w:multiLevelType w:val="singleLevel"/>
    <w:tmpl w:val="285C20FB"/>
    <w:lvl w:ilvl="0" w:tentative="0">
      <w:start w:val="4"/>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hNzFiNDRlNzJlMjcwNGIwMWI4MGUyNDFhMTg3MzQifQ=="/>
  </w:docVars>
  <w:rsids>
    <w:rsidRoot w:val="172528DF"/>
    <w:rsid w:val="00152A19"/>
    <w:rsid w:val="00C63ABF"/>
    <w:rsid w:val="00E055A8"/>
    <w:rsid w:val="01E469C0"/>
    <w:rsid w:val="021D0F7C"/>
    <w:rsid w:val="04A42800"/>
    <w:rsid w:val="0C063B5D"/>
    <w:rsid w:val="14EE1332"/>
    <w:rsid w:val="161F0DBA"/>
    <w:rsid w:val="172528DF"/>
    <w:rsid w:val="180D0283"/>
    <w:rsid w:val="188350F6"/>
    <w:rsid w:val="18D2773B"/>
    <w:rsid w:val="195B7276"/>
    <w:rsid w:val="1B82212C"/>
    <w:rsid w:val="1C5C4B54"/>
    <w:rsid w:val="242E395E"/>
    <w:rsid w:val="24C8221A"/>
    <w:rsid w:val="26946721"/>
    <w:rsid w:val="2BF358F0"/>
    <w:rsid w:val="2D48006D"/>
    <w:rsid w:val="2F7C8C3E"/>
    <w:rsid w:val="2FB8108F"/>
    <w:rsid w:val="34F71F16"/>
    <w:rsid w:val="36421CF5"/>
    <w:rsid w:val="36A86334"/>
    <w:rsid w:val="36D34190"/>
    <w:rsid w:val="40BD2ECE"/>
    <w:rsid w:val="440A3726"/>
    <w:rsid w:val="47FC0134"/>
    <w:rsid w:val="4834224A"/>
    <w:rsid w:val="4C114362"/>
    <w:rsid w:val="4CE51F37"/>
    <w:rsid w:val="4D6C0FAE"/>
    <w:rsid w:val="4FC50B4A"/>
    <w:rsid w:val="4FC7696F"/>
    <w:rsid w:val="50313D6E"/>
    <w:rsid w:val="561808DE"/>
    <w:rsid w:val="57BF2D4E"/>
    <w:rsid w:val="5A80493C"/>
    <w:rsid w:val="5B4B6FCA"/>
    <w:rsid w:val="5F4B60C4"/>
    <w:rsid w:val="602D5877"/>
    <w:rsid w:val="6055237E"/>
    <w:rsid w:val="64D70FAB"/>
    <w:rsid w:val="651A3995"/>
    <w:rsid w:val="6729654F"/>
    <w:rsid w:val="67914E7E"/>
    <w:rsid w:val="6A04013E"/>
    <w:rsid w:val="6A932ECE"/>
    <w:rsid w:val="6CF47618"/>
    <w:rsid w:val="6DE365C6"/>
    <w:rsid w:val="6FAB54DA"/>
    <w:rsid w:val="70F238FB"/>
    <w:rsid w:val="713752AB"/>
    <w:rsid w:val="736B748E"/>
    <w:rsid w:val="73C073AE"/>
    <w:rsid w:val="74497118"/>
    <w:rsid w:val="772B2208"/>
    <w:rsid w:val="78F65544"/>
    <w:rsid w:val="7D1312C2"/>
    <w:rsid w:val="F9B56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 id="V:Rule3"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line="600" w:lineRule="exact"/>
      <w:ind w:firstLine="600"/>
    </w:pPr>
    <w:rPr>
      <w:rFonts w:eastAsia="仿宋"/>
      <w:color w:val="000000"/>
      <w:kern w:val="1"/>
      <w:sz w:val="3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普通(网站)1"/>
    <w:basedOn w:val="1"/>
    <w:qFormat/>
    <w:uiPriority w:val="0"/>
    <w:pPr>
      <w:jc w:val="left"/>
    </w:pPr>
    <w:rPr>
      <w:rFonts w:cs="Times New Roman"/>
      <w:kern w:val="0"/>
      <w:sz w:val="24"/>
    </w:rPr>
  </w:style>
  <w:style w:type="paragraph" w:customStyle="1" w:styleId="10">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3432</Words>
  <Characters>3457</Characters>
  <Lines>26</Lines>
  <Paragraphs>7</Paragraphs>
  <TotalTime>2</TotalTime>
  <ScaleCrop>false</ScaleCrop>
  <LinksUpToDate>false</LinksUpToDate>
  <CharactersWithSpaces>3569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2020-08-11T15:24:00Z</dcterms:created>
  <dc:creator>-Yoci-</dc:creator>
  <cp:lastModifiedBy>谢绘新</cp:lastModifiedBy>
  <cp:lastPrinted>2023-08-29T17:44:00Z</cp:lastPrinted>
  <dcterms:modified xsi:type="dcterms:W3CDTF">2023-11-30T00:51:50Z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2DCB9CEF008441E69D66764C86C5427C</vt:lpwstr>
  </property>
</Properties>
</file>