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ascii="仿宋_GB2312" w:hAnsi="仿宋_GB2312" w:eastAsia="仿宋_GB2312"/>
          <w:color w:val="E7E6E6" w:themeColor="background2"/>
          <w:sz w:val="28"/>
          <w:szCs w:val="28"/>
          <w14:textFill>
            <w14:solidFill>
              <w14:schemeClr w14:val="bg2"/>
            </w14:solidFill>
          </w14:textFill>
        </w:rPr>
      </w:pPr>
    </w:p>
    <w:p>
      <w:pPr>
        <w:pStyle w:val="7"/>
        <w:keepNext w:val="0"/>
        <w:keepLines w:val="0"/>
        <w:pageBreakBefore w:val="0"/>
        <w:widowControl w:val="0"/>
        <w:kinsoku/>
        <w:wordWrap/>
        <w:overflowPunct/>
        <w:topLinePunct w:val="0"/>
        <w:autoSpaceDE/>
        <w:autoSpaceDN/>
        <w:bidi w:val="0"/>
        <w:adjustRightInd/>
        <w:spacing w:after="0" w:afterLines="0" w:line="560" w:lineRule="exact"/>
        <w:textAlignment w:val="auto"/>
        <w:rPr>
          <w:color w:val="E7E6E6" w:themeColor="background2"/>
          <w14:textFill>
            <w14:solidFill>
              <w14:schemeClr w14:val="bg2"/>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E7E6E6" w:themeColor="background2"/>
          <w:sz w:val="32"/>
          <w:szCs w:val="32"/>
          <w14:textFill>
            <w14:solidFill>
              <w14:schemeClr w14:val="bg2"/>
            </w14:solidFill>
          </w14:textFill>
        </w:rPr>
      </w:pPr>
    </w:p>
    <w:p>
      <w:pPr>
        <w:keepNext w:val="0"/>
        <w:keepLines w:val="0"/>
        <w:pageBreakBefore w:val="0"/>
        <w:widowControl w:val="0"/>
        <w:kinsoku/>
        <w:wordWrap/>
        <w:overflowPunct/>
        <w:topLinePunct w:val="0"/>
        <w:autoSpaceDE/>
        <w:autoSpaceDN/>
        <w:bidi w:val="0"/>
        <w:adjustRightInd/>
        <w:snapToGrid/>
        <w:spacing w:line="1500" w:lineRule="exact"/>
        <w:jc w:val="center"/>
        <w:textAlignment w:val="auto"/>
        <w:rPr>
          <w:rFonts w:hint="eastAsia" w:ascii="方正小标宋简体" w:hAnsi="方正小标宋简体" w:eastAsia="方正小标宋简体" w:cs="方正小标宋简体"/>
          <w:color w:val="FF0000"/>
          <w:w w:val="70"/>
          <w:sz w:val="140"/>
          <w:szCs w:val="140"/>
          <w:lang w:val="en-US" w:eastAsia="zh-CN"/>
        </w:rPr>
      </w:pPr>
      <w:r>
        <w:rPr>
          <w:rFonts w:hint="eastAsia" w:ascii="方正小标宋简体" w:hAnsi="方正小标宋简体" w:eastAsia="方正小标宋简体" w:cs="方正小标宋简体"/>
          <w:color w:val="FF0000"/>
          <w:spacing w:val="23"/>
          <w:w w:val="72"/>
          <w:sz w:val="130"/>
          <w:szCs w:val="130"/>
          <w:lang w:val="en-US" w:eastAsia="zh-CN"/>
        </w:rPr>
        <w:t>聊城市财政局文件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E7E6E6" w:themeColor="background2"/>
          <w:sz w:val="32"/>
          <w:szCs w:val="32"/>
          <w14:textFill>
            <w14:solidFill>
              <w14:schemeClr w14:val="bg2"/>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E7E6E6" w:themeColor="background2"/>
          <w:sz w:val="32"/>
          <w:szCs w:val="32"/>
          <w14:textFill>
            <w14:solidFill>
              <w14:schemeClr w14:val="bg2"/>
            </w14:solidFill>
          </w14:textFill>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聊财工〔2024〕2号</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both"/>
        <w:textAlignment w:val="auto"/>
        <w:rPr>
          <w:rFonts w:hint="eastAsia" w:ascii="方正小标宋简体" w:hAnsi="方正小标宋简体" w:eastAsia="方正小标宋简体" w:cs="方正小标宋简体"/>
          <w:color w:val="E7E6E6" w:themeColor="background2"/>
          <w:sz w:val="44"/>
          <w:szCs w:val="44"/>
          <w:lang w:val="en-US" w:eastAsia="zh-CN"/>
          <w14:textFill>
            <w14:solidFill>
              <w14:schemeClr w14:val="bg2"/>
            </w14:solidFill>
          </w14:textFill>
        </w:rPr>
      </w:pPr>
      <w:r>
        <w:rPr>
          <w:color w:val="E7E6E6" w:themeColor="background2"/>
          <w:sz w:val="32"/>
          <w14:textFill>
            <w14:solidFill>
              <w14:schemeClr w14:val="bg2"/>
            </w14:solidFill>
          </w14:textFill>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66675</wp:posOffset>
                </wp:positionV>
                <wp:extent cx="5579745" cy="9525"/>
                <wp:effectExtent l="0" t="0" r="0" b="0"/>
                <wp:wrapNone/>
                <wp:docPr id="5" name="直接连接符 5"/>
                <wp:cNvGraphicFramePr/>
                <a:graphic xmlns:a="http://schemas.openxmlformats.org/drawingml/2006/main">
                  <a:graphicData uri="http://schemas.microsoft.com/office/word/2010/wordprocessingShape">
                    <wps:wsp>
                      <wps:cNvCnPr/>
                      <wps:spPr>
                        <a:xfrm>
                          <a:off x="1187450" y="4752975"/>
                          <a:ext cx="5579745" cy="9525"/>
                        </a:xfrm>
                        <a:prstGeom prst="line">
                          <a:avLst/>
                        </a:prstGeom>
                        <a:noFill/>
                        <a:ln w="19050" cap="flat" cmpd="sng" algn="ctr">
                          <a:solidFill>
                            <a:srgbClr val="FF5A28"/>
                          </a:solidFill>
                          <a:prstDash val="solid"/>
                        </a:ln>
                        <a:effectLst/>
                      </wps:spPr>
                      <wps:bodyPr/>
                    </wps:wsp>
                  </a:graphicData>
                </a:graphic>
              </wp:anchor>
            </w:drawing>
          </mc:Choice>
          <mc:Fallback>
            <w:pict>
              <v:line id="_x0000_s1026" o:spid="_x0000_s1026" o:spt="20" style="position:absolute;left:0pt;margin-left:-0.05pt;margin-top:5.25pt;height:0.75pt;width:439.35pt;z-index:251660288;mso-width-relative:page;mso-height-relative:page;" filled="f" stroked="t" coordsize="21600,21600" o:gfxdata="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akCnXUAAAABwEAAA8AAAAAAAAAAQAgAAAAIgAAAGRycy9kb3ducmV2LnhtbFBLAQIUABQAAAAI&#10;AIdO4kDCK86B8QEAALgDAAAOAAAAAAAAAAEAIAAAACMBAABkcnMvZTJvRG9jLnhtbFBLBQYAAAAA&#10;BgAGAFkBAACGBQAAAAA=&#10;">
                <v:fill on="f" focussize="0,0"/>
                <v:stroke weight="1.5pt" color="#FF5A28"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color w:val="auto"/>
          <w:sz w:val="44"/>
          <w:szCs w:val="44"/>
          <w:lang w:val="en-US" w:eastAsia="zh-CN"/>
        </w:rPr>
      </w:pPr>
      <w:bookmarkStart w:id="0" w:name="_GoBack"/>
    </w:p>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关于进一步完善聊城市政府引导基金</w:t>
      </w:r>
    </w:p>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项目库的通知</w:t>
      </w:r>
      <w:bookmarkEnd w:id="0"/>
    </w:p>
    <w:p>
      <w:pPr>
        <w:keepNext w:val="0"/>
        <w:keepLines w:val="0"/>
        <w:pageBreakBefore w:val="0"/>
        <w:kinsoku/>
        <w:wordWrap/>
        <w:overflowPunct/>
        <w:topLinePunct w:val="0"/>
        <w:autoSpaceDE/>
        <w:autoSpaceDN/>
        <w:bidi w:val="0"/>
        <w:adjustRightInd/>
        <w:snapToGrid/>
        <w:spacing w:line="600" w:lineRule="exact"/>
        <w:ind w:left="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left="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各县（市、区）财政局、市属开发区财政主管部门：</w:t>
      </w:r>
    </w:p>
    <w:p>
      <w:pPr>
        <w:keepNext w:val="0"/>
        <w:keepLines w:val="0"/>
        <w:pageBreakBefore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落实全市县域传统产业整治提升会议精神，推动我市传统产业提质升级，加快构建现代化产业体系，进一步推动聊城市政府引导基金加快投资运作，培育聊城市新质生产力发展，市财政局拟进一步完善聊城市政府引导基金项目库，现将有关事项通知如下：</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一、聊城市政府引导基金情况</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聊城市政府引导基金是由市政府决定设立，按照“政府引导、市场运作、公开透明、开放包容、依法合规、防范风险”的原则，按照财政出资引导、社会资本参与、市场方式运作、专业机构管理的模式运营，旨在拓宽企业融资渠道，扶持企业发展壮大。</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20" w:firstLineChars="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运作模式</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聊城市政府引导基金按照“母基金参股子基金+母基金直投项目”方式运作，根据需要支持设立母基金或直接出资设立、增资参股子基金(引导基金出资设立的母基金和子基金)，或直接投资市委、市政府确定的重点项目。</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20" w:firstLineChars="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投资领域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聊城市政府引导基金重点投资以下领域：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1.突出支持传统产业改造升级。支持有色金属及金属深加工、绿色化工、纺织服装、文化旅游、现代高效农业等传统产业，对其中细分领域的钢管产业、木材加工产业、铸造产业、交通安全设施（护栏板）产业、农副产品加工产业、电线电缆产业、建材产业、花岗岩加工产业、煤化工产业、商砼产业等涌现的新技术、新业态、新模式等进行重点扶持。</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2.支持新兴、优势产业做大做强。重点投向新材料、高端装备制造、新能源汽车、医养健康等新兴产业，支持循环经济产业发展。</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3.支持对外开放。鼓励企业“走出去、引进来”，重点支持招商引资、招才引智、产融结合、跨国并购项目。</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4.其他重点领域优质项目等。</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420" w:firstLineChars="0"/>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政府引导基金优势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政府引导基金以扶持产业发展为目的，在不影响企业控股权、不提高企业资产负债率的前提下，更加精准助推特定产业发展壮大，更加精准聚焦具有发展潜力的优质企业，集中资金助力企业解决孵化器、研发期、扩张期面临的资金不足困境，促进产业结构调整、技术创新和升级。</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420" w:firstLineChars="0"/>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投资决策及运营管理</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聊城市财信新动能基金管理公司负责聊城市政府引导基金运营管理，独立开展市场化运作、专业化管理,对潜在投资项目进行调查、分析、筛选、控股，由投决委进行投资决策，并设立政府引导基金项目库，作为项目信息征集、筛选、管理的平台载体。</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聊城市政府引导基金项目库申报</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为充分发挥我市政府引导基金作用，各县（市、区）财政局、市属开发区财政主管部门要积极向聊城市财政局、聊城市财信新动能基金管理公司推荐有较大发展潜力或有重要引导带动作用的企业名单和项目信息，纳入聊城市政府引导基金项目库管理。</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（一）申请入库基本条件</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1.在聊城市内注册，具有企业独立法人资格的企业，从事法律法规允许范围内经营活动，无不良信息记录。</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产业发展符合国家和省相关政策，在相关产业、领域中应具有较强的引领支撑带动作用，是行业或细分行业的龙头企业，在市场占有率、业务利润率、预期增长率等方面具有较强竞争优势，市场前景良好，具有广阔的市场需求，具备可持续的盈利能力和成长潜力。申报项目要匹配政府引导基金投资领域。</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3.申报主体单位具备与项目实施相匹配的资金实力、技术能力、人才支撑，在安全生产、企业经营、环境保护、社会信用等方面不存在违法违规问题。</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4.申报企业具有明确的股权融资意愿，合理的资金需求规模，财务状况良好。</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（二）申报入库流程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1.县级初审。申报入库企业需将如实填写《聊城市政府引导基金项目库入库申报表》（附件1）及项目简介（附件2），报所在地县（市、区）财政局、市属开发区财政主管部门。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各县（市、区）财政局、市属开发区财政主管部门对各申报企业填报申请信息真实性、完整性及相关责任主体信用记录等进行审核。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2.线上申报。申报企业登录聊城市政府引导基金官网（登录网址：</w:t>
      </w:r>
      <w:r>
        <w:rPr>
          <w:rFonts w:hint="eastAsia" w:ascii="仿宋_GB2312" w:hAnsi="仿宋_GB2312" w:eastAsia="仿宋_GB2312" w:cs="仿宋_GB2312"/>
          <w:color w:val="auto"/>
          <w:kern w:val="0"/>
          <w:sz w:val="32"/>
          <w:szCs w:val="32"/>
          <w:lang w:val="en-US" w:eastAsia="zh-CN" w:bidi="ar"/>
        </w:rPr>
        <w:fldChar w:fldCharType="begin"/>
      </w:r>
      <w:r>
        <w:rPr>
          <w:rFonts w:hint="eastAsia" w:ascii="仿宋_GB2312" w:hAnsi="仿宋_GB2312" w:eastAsia="仿宋_GB2312" w:cs="仿宋_GB2312"/>
          <w:color w:val="auto"/>
          <w:kern w:val="0"/>
          <w:sz w:val="32"/>
          <w:szCs w:val="32"/>
          <w:lang w:val="en-US" w:eastAsia="zh-CN" w:bidi="ar"/>
        </w:rPr>
        <w:instrText xml:space="preserve"> HYPERLINK "http://39.105.103.89:1008/），在线提交基金申请材料，申请材料见系统内提示，首次提交申请材料的企业需注册账号，联系电话0635-7032388。" </w:instrText>
      </w:r>
      <w:r>
        <w:rPr>
          <w:rFonts w:hint="eastAsia" w:ascii="仿宋_GB2312" w:hAnsi="仿宋_GB2312" w:eastAsia="仿宋_GB2312" w:cs="仿宋_GB2312"/>
          <w:color w:val="auto"/>
          <w:kern w:val="0"/>
          <w:sz w:val="32"/>
          <w:szCs w:val="32"/>
          <w:lang w:val="en-US" w:eastAsia="zh-CN" w:bidi="ar"/>
        </w:rPr>
        <w:fldChar w:fldCharType="separate"/>
      </w:r>
      <w:r>
        <w:rPr>
          <w:rFonts w:hint="eastAsia" w:ascii="仿宋_GB2312" w:hAnsi="仿宋_GB2312" w:eastAsia="仿宋_GB2312" w:cs="仿宋_GB2312"/>
          <w:color w:val="auto"/>
          <w:kern w:val="0"/>
          <w:sz w:val="32"/>
          <w:szCs w:val="32"/>
          <w:lang w:val="en-US" w:eastAsia="zh-CN" w:bidi="ar"/>
        </w:rPr>
        <w:t>http://39.105.103.89:1008/）进行注册，点击“基金项目入库申报”窗口进入填报界面，如实填写基金申请材料，上传盖章后的入库申报表（附件1），具体填报流程见系统内提示，首次提交申请材料的企业需注册账号，联系电话0635-7032388。</w:t>
      </w:r>
      <w:r>
        <w:rPr>
          <w:rFonts w:hint="eastAsia" w:ascii="仿宋_GB2312" w:hAnsi="仿宋_GB2312" w:eastAsia="仿宋_GB2312" w:cs="仿宋_GB2312"/>
          <w:color w:val="auto"/>
          <w:kern w:val="0"/>
          <w:sz w:val="32"/>
          <w:szCs w:val="32"/>
          <w:lang w:val="en-US" w:eastAsia="zh-CN" w:bidi="ar"/>
        </w:rPr>
        <w:fldChar w:fldCharType="end"/>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3.线上复核。聊城市财信新动能基金管理公司对项目情况进行线上审核，符合投资要求的直接纳入项目库。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4.实地调查。聊城市财信新动能基金管理公司充分发挥项目库作用，加强对项目库项目的分类管理，定期组织对入库企业的尽职调查，并将尽调情况报送市财政局。</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其他事项。申报入库不设截止时间，在基金存续期内，各县（市、区）财政、市属开发区财政主管部门可作为常态化工作、持续组织企业申报。项目库实行动态管理，已入库企业如有违法失信、虚报瞒报等行为，强制退出项目库，并限制其再次申报入库。</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三、加强协调对接形成发展合力</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聊城市政府引导基金融合了政府施策与市场规则，</w:t>
      </w:r>
      <w:r>
        <w:rPr>
          <w:rFonts w:hint="eastAsia" w:ascii="仿宋_GB2312" w:hAnsi="仿宋_GB2312" w:eastAsia="仿宋_GB2312" w:cs="仿宋_GB2312"/>
          <w:sz w:val="32"/>
          <w:szCs w:val="40"/>
          <w:lang w:val="en-US" w:eastAsia="zh-CN"/>
        </w:rPr>
        <w:t>实现了财政资金循环利用，在缓解财政支出压力的同时，也提高了财政资金使用的集约性、精准性、带动性，使政府能借助资本手段更加灵活地引导产业方向和结构</w:t>
      </w:r>
      <w:r>
        <w:rPr>
          <w:rFonts w:hint="eastAsia" w:ascii="仿宋_GB2312" w:hAnsi="仿宋_GB2312" w:eastAsia="仿宋_GB2312" w:cs="仿宋_GB2312"/>
          <w:color w:val="auto"/>
          <w:kern w:val="0"/>
          <w:sz w:val="32"/>
          <w:szCs w:val="32"/>
          <w:lang w:val="en-US" w:eastAsia="zh-CN" w:bidi="ar"/>
        </w:rPr>
        <w:t>能更加灵活地引导产业方向和结构，有效支持聊城市实体经济高质量发展。各县（市、区）财政局、市属开发区财政主管部门要加强与工信、发改、科技等有关部门的协调对接，认真组织聊城市政府引导基金项目库入库工作，市财政局将结合工作实际，对入库情况进行通报。</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联系人：谢绘新     电话：8681107</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1.聊城市政府引导基金项目库入库申报表</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    2.项目简介</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080" w:firstLineChars="19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080" w:firstLineChars="19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080" w:firstLineChars="19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聊城市财政局</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5760" w:firstLineChars="18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2024年7月18日</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spacing w:line="600" w:lineRule="exact"/>
        <w:rPr>
          <w:rFonts w:ascii="方正小标宋简体" w:eastAsia="方正小标宋简体"/>
          <w:sz w:val="28"/>
          <w:szCs w:val="28"/>
        </w:rPr>
      </w:pPr>
      <w:r>
        <w:rPr>
          <w:rFonts w:hint="eastAsia" w:ascii="黑体" w:hAnsi="黑体" w:eastAsia="黑体"/>
          <w:sz w:val="28"/>
          <w:szCs w:val="28"/>
        </w:rPr>
        <w:t>信息公开选项</w:t>
      </w:r>
      <w:r>
        <w:rPr>
          <w:rFonts w:hint="eastAsia"/>
          <w:sz w:val="28"/>
          <w:szCs w:val="28"/>
        </w:rPr>
        <w:t>：</w:t>
      </w:r>
      <w:r>
        <w:rPr>
          <w:rFonts w:hint="eastAsia" w:ascii="方正小标宋简体" w:eastAsia="方正小标宋简体"/>
          <w:sz w:val="28"/>
          <w:szCs w:val="28"/>
          <w:lang w:val="en-US" w:eastAsia="zh-CN"/>
        </w:rPr>
        <w:t>主动</w:t>
      </w:r>
      <w:r>
        <w:rPr>
          <w:rFonts w:hint="eastAsia" w:ascii="方正小标宋简体" w:eastAsia="方正小标宋简体"/>
          <w:sz w:val="28"/>
          <w:szCs w:val="28"/>
        </w:rPr>
        <w:t>公开</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417195</wp:posOffset>
                </wp:positionV>
                <wp:extent cx="5348605" cy="635"/>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34860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5pt;margin-top:32.85pt;height:0.05pt;width:421.15pt;z-index:251661312;mso-width-relative:page;mso-height-relative:page;" filled="f" stroked="t" coordsize="21600,21600" o:gfxdata="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o8p9UAAAAHAQAADwAAAAAAAAABACAAAAAiAAAAZHJzL2Rvd25yZXYu&#10;eG1sUEsBAhQAFAAAAAgAh07iQEMfG3b+AQAA7gMAAA4AAAAAAAAAAQAgAAAAJAEAAGRycy9lMm9E&#10;b2MueG1sUEsFBgAAAAAGAAYAWQEAAJQFAAAAAA==&#10;">
                <v:fill on="f" focussize="0,0"/>
                <v:stroke color="#000000" joinstyle="round"/>
                <v:imagedata o:title=""/>
                <o:lock v:ext="edit" aspectratio="f"/>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28575</wp:posOffset>
                </wp:positionV>
                <wp:extent cx="5348605" cy="0"/>
                <wp:effectExtent l="0" t="4445" r="0" b="5080"/>
                <wp:wrapNone/>
                <wp:docPr id="2" name="直接箭头连接符 2"/>
                <wp:cNvGraphicFramePr/>
                <a:graphic xmlns:a="http://schemas.openxmlformats.org/drawingml/2006/main">
                  <a:graphicData uri="http://schemas.microsoft.com/office/word/2010/wordprocessingShape">
                    <wps:wsp>
                      <wps:cNvCnPr/>
                      <wps:spPr>
                        <a:xfrm>
                          <a:off x="0" y="0"/>
                          <a:ext cx="534860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5pt;margin-top:2.25pt;height:0pt;width:421.15pt;z-index:251662336;mso-width-relative:page;mso-height-relative:page;" filled="f" stroked="t" coordsize="21600,21600" o:gfxdata="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AQCn9MAAAAFAQAADwAAAAAAAAABACAAAAAiAAAAZHJzL2Rvd25yZXYueG1s&#10;UEsBAhQAFAAAAAgAh07iQNpKgoT9AQAA7AMAAA4AAAAAAAAAAQAgAAAAIgEAAGRycy9lMm9Eb2Mu&#10;eG1sUEsFBgAAAAAGAAYAWQEAAJEFAAAAAA==&#10;">
                <v:fill on="f" focussize="0,0"/>
                <v:stroke color="#000000" joinstyle="round"/>
                <v:imagedata o:title=""/>
                <o:lock v:ext="edit" aspectratio="f"/>
              </v:shape>
            </w:pict>
          </mc:Fallback>
        </mc:AlternateContent>
      </w:r>
      <w:r>
        <w:rPr>
          <w:rFonts w:hint="eastAsia" w:ascii="仿宋_GB2312" w:hAnsi="仿宋_GB2312" w:eastAsia="仿宋_GB2312" w:cs="仿宋_GB2312"/>
          <w:sz w:val="28"/>
          <w:szCs w:val="28"/>
        </w:rPr>
        <w:t xml:space="preserve">  聊城市财政局工商贸易科                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日印发</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黑体" w:hAnsi="黑体" w:eastAsia="黑体" w:cs="黑体"/>
          <w:color w:val="auto"/>
          <w:sz w:val="28"/>
          <w:szCs w:val="28"/>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黑体" w:hAnsi="黑体" w:eastAsia="黑体" w:cs="黑体"/>
          <w:i w:val="0"/>
          <w:iCs w:val="0"/>
          <w:caps w:val="0"/>
          <w:color w:val="auto"/>
          <w:spacing w:val="0"/>
          <w:sz w:val="28"/>
          <w:szCs w:val="28"/>
          <w:lang w:val="en-US" w:eastAsia="zh-CN"/>
        </w:rPr>
      </w:pPr>
      <w:r>
        <w:rPr>
          <w:rFonts w:hint="eastAsia" w:ascii="黑体" w:hAnsi="黑体" w:eastAsia="黑体" w:cs="黑体"/>
          <w:color w:val="auto"/>
          <w:sz w:val="28"/>
          <w:szCs w:val="28"/>
          <w:lang w:val="en-US" w:eastAsia="zh-CN"/>
        </w:rPr>
        <w:t>附件1</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auto"/>
          <w:sz w:val="36"/>
          <w:szCs w:val="36"/>
          <w:lang w:val="en-US" w:eastAsia="zh-CN"/>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lang w:val="en-US" w:eastAsia="zh-CN"/>
        </w:rPr>
        <w:t>聊城市新旧动能转换引导基金项目库入库申报表</w:t>
      </w:r>
    </w:p>
    <w:tbl>
      <w:tblPr>
        <w:tblStyle w:val="9"/>
        <w:tblpPr w:leftFromText="180" w:rightFromText="180" w:vertAnchor="text" w:tblpX="50" w:tblpY="4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2275"/>
        <w:gridCol w:w="1995"/>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820" w:type="dxa"/>
            <w:noWrap w:val="0"/>
            <w:vAlign w:val="center"/>
          </w:tcPr>
          <w:p>
            <w:pPr>
              <w:jc w:val="center"/>
              <w:rPr>
                <w:color w:val="auto"/>
                <w:vertAlign w:val="baseline"/>
              </w:rPr>
            </w:pPr>
            <w:r>
              <w:rPr>
                <w:rFonts w:hint="eastAsia" w:ascii="宋体" w:hAnsi="宋体" w:cs="宋体"/>
                <w:color w:val="auto"/>
                <w:sz w:val="21"/>
                <w:szCs w:val="21"/>
                <w:vertAlign w:val="baseline"/>
                <w:lang w:val="en-US" w:eastAsia="zh-CN"/>
              </w:rPr>
              <w:t>申报单位</w:t>
            </w:r>
          </w:p>
        </w:tc>
        <w:tc>
          <w:tcPr>
            <w:tcW w:w="2275" w:type="dxa"/>
            <w:noWrap w:val="0"/>
            <w:vAlign w:val="center"/>
          </w:tcPr>
          <w:p>
            <w:pPr>
              <w:jc w:val="center"/>
              <w:rPr>
                <w:color w:val="auto"/>
                <w:vertAlign w:val="baseline"/>
              </w:rPr>
            </w:pPr>
          </w:p>
        </w:tc>
        <w:tc>
          <w:tcPr>
            <w:tcW w:w="1995" w:type="dxa"/>
            <w:noWrap w:val="0"/>
            <w:vAlign w:val="center"/>
          </w:tcPr>
          <w:p>
            <w:pPr>
              <w:jc w:val="center"/>
              <w:rPr>
                <w:color w:val="auto"/>
                <w:vertAlign w:val="baseline"/>
              </w:rPr>
            </w:pPr>
            <w:r>
              <w:rPr>
                <w:rFonts w:hint="eastAsia" w:ascii="宋体" w:hAnsi="宋体" w:cs="宋体"/>
                <w:color w:val="auto"/>
                <w:sz w:val="21"/>
                <w:szCs w:val="21"/>
                <w:vertAlign w:val="baseline"/>
                <w:lang w:val="en-US" w:eastAsia="zh-CN"/>
              </w:rPr>
              <w:t>统一社会信用代码</w:t>
            </w:r>
          </w:p>
        </w:tc>
        <w:tc>
          <w:tcPr>
            <w:tcW w:w="2415" w:type="dxa"/>
            <w:noWrap w:val="0"/>
            <w:vAlign w:val="center"/>
          </w:tcPr>
          <w:p>
            <w:pPr>
              <w:jc w:val="cente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820" w:type="dxa"/>
            <w:noWrap w:val="0"/>
            <w:vAlign w:val="center"/>
          </w:tcPr>
          <w:p>
            <w:pPr>
              <w:jc w:val="center"/>
              <w:rPr>
                <w:rFonts w:hint="default"/>
                <w:color w:val="auto"/>
                <w:vertAlign w:val="baseline"/>
                <w:lang w:val="en-US" w:eastAsia="zh-CN"/>
              </w:rPr>
            </w:pPr>
            <w:r>
              <w:rPr>
                <w:rFonts w:hint="eastAsia"/>
                <w:color w:val="auto"/>
                <w:vertAlign w:val="baseline"/>
                <w:lang w:val="en-US" w:eastAsia="zh-CN"/>
              </w:rPr>
              <w:t>注册地址</w:t>
            </w:r>
          </w:p>
        </w:tc>
        <w:tc>
          <w:tcPr>
            <w:tcW w:w="6685" w:type="dxa"/>
            <w:gridSpan w:val="3"/>
            <w:noWrap w:val="0"/>
            <w:vAlign w:val="center"/>
          </w:tcPr>
          <w:p>
            <w:pPr>
              <w:jc w:val="cente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820" w:type="dxa"/>
            <w:noWrap w:val="0"/>
            <w:vAlign w:val="center"/>
          </w:tcPr>
          <w:p>
            <w:pPr>
              <w:jc w:val="center"/>
              <w:rPr>
                <w:rFonts w:hint="default" w:eastAsia="宋体"/>
                <w:color w:val="auto"/>
                <w:vertAlign w:val="baseline"/>
                <w:lang w:val="en-US" w:eastAsia="zh-CN"/>
              </w:rPr>
            </w:pPr>
            <w:r>
              <w:rPr>
                <w:rFonts w:hint="eastAsia"/>
                <w:color w:val="auto"/>
                <w:vertAlign w:val="baseline"/>
                <w:lang w:val="en-US" w:eastAsia="zh-CN"/>
              </w:rPr>
              <w:t>法人代表</w:t>
            </w:r>
          </w:p>
        </w:tc>
        <w:tc>
          <w:tcPr>
            <w:tcW w:w="2275" w:type="dxa"/>
            <w:noWrap w:val="0"/>
            <w:vAlign w:val="center"/>
          </w:tcPr>
          <w:p>
            <w:pPr>
              <w:jc w:val="center"/>
              <w:rPr>
                <w:color w:val="auto"/>
                <w:vertAlign w:val="baseline"/>
              </w:rPr>
            </w:pPr>
          </w:p>
        </w:tc>
        <w:tc>
          <w:tcPr>
            <w:tcW w:w="1995" w:type="dxa"/>
            <w:noWrap w:val="0"/>
            <w:vAlign w:val="center"/>
          </w:tcPr>
          <w:p>
            <w:pPr>
              <w:jc w:val="center"/>
              <w:rPr>
                <w:color w:val="auto"/>
                <w:vertAlign w:val="baseline"/>
              </w:rPr>
            </w:pPr>
            <w:r>
              <w:rPr>
                <w:rFonts w:hint="eastAsia" w:ascii="宋体" w:hAnsi="宋体" w:cs="宋体"/>
                <w:color w:val="auto"/>
                <w:sz w:val="21"/>
                <w:szCs w:val="21"/>
                <w:vertAlign w:val="baseline"/>
                <w:lang w:val="en-US" w:eastAsia="zh-CN"/>
              </w:rPr>
              <w:t>联系方式</w:t>
            </w:r>
          </w:p>
        </w:tc>
        <w:tc>
          <w:tcPr>
            <w:tcW w:w="2415" w:type="dxa"/>
            <w:noWrap w:val="0"/>
            <w:vAlign w:val="center"/>
          </w:tcPr>
          <w:p>
            <w:pPr>
              <w:jc w:val="cente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820" w:type="dxa"/>
            <w:noWrap w:val="0"/>
            <w:vAlign w:val="center"/>
          </w:tcPr>
          <w:p>
            <w:pPr>
              <w:jc w:val="center"/>
              <w:rPr>
                <w:rFonts w:hint="default" w:eastAsia="宋体"/>
                <w:color w:val="auto"/>
                <w:vertAlign w:val="baseline"/>
                <w:lang w:val="en-US" w:eastAsia="zh-CN"/>
              </w:rPr>
            </w:pPr>
            <w:r>
              <w:rPr>
                <w:rFonts w:hint="eastAsia"/>
                <w:color w:val="auto"/>
                <w:vertAlign w:val="baseline"/>
                <w:lang w:val="en-US" w:eastAsia="zh-CN"/>
              </w:rPr>
              <w:t>企业类型</w:t>
            </w:r>
          </w:p>
        </w:tc>
        <w:tc>
          <w:tcPr>
            <w:tcW w:w="2275" w:type="dxa"/>
            <w:noWrap w:val="0"/>
            <w:vAlign w:val="center"/>
          </w:tcPr>
          <w:p>
            <w:pPr>
              <w:jc w:val="center"/>
              <w:rPr>
                <w:color w:val="auto"/>
                <w:vertAlign w:val="baseline"/>
              </w:rPr>
            </w:pPr>
          </w:p>
        </w:tc>
        <w:tc>
          <w:tcPr>
            <w:tcW w:w="1995" w:type="dxa"/>
            <w:noWrap w:val="0"/>
            <w:vAlign w:val="center"/>
          </w:tcPr>
          <w:p>
            <w:pPr>
              <w:jc w:val="center"/>
              <w:rPr>
                <w:color w:val="auto"/>
                <w:vertAlign w:val="baseline"/>
              </w:rPr>
            </w:pPr>
            <w:r>
              <w:rPr>
                <w:rFonts w:hint="eastAsia" w:ascii="宋体" w:hAnsi="宋体" w:cs="宋体"/>
                <w:color w:val="auto"/>
                <w:sz w:val="21"/>
                <w:szCs w:val="21"/>
                <w:vertAlign w:val="baseline"/>
                <w:lang w:val="en-US" w:eastAsia="zh-CN"/>
              </w:rPr>
              <w:t>经营范围</w:t>
            </w:r>
          </w:p>
        </w:tc>
        <w:tc>
          <w:tcPr>
            <w:tcW w:w="2415" w:type="dxa"/>
            <w:noWrap w:val="0"/>
            <w:vAlign w:val="center"/>
          </w:tcPr>
          <w:p>
            <w:pPr>
              <w:jc w:val="cente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820" w:type="dxa"/>
            <w:noWrap w:val="0"/>
            <w:vAlign w:val="center"/>
          </w:tcPr>
          <w:p>
            <w:pPr>
              <w:jc w:val="center"/>
              <w:rPr>
                <w:rFonts w:hint="default" w:eastAsia="宋体"/>
                <w:color w:val="auto"/>
                <w:vertAlign w:val="baseline"/>
                <w:lang w:val="en-US" w:eastAsia="zh-CN"/>
              </w:rPr>
            </w:pPr>
            <w:r>
              <w:rPr>
                <w:rFonts w:hint="eastAsia"/>
                <w:color w:val="auto"/>
                <w:vertAlign w:val="baseline"/>
                <w:lang w:val="en-US" w:eastAsia="zh-CN"/>
              </w:rPr>
              <w:t>总资产（万元））</w:t>
            </w:r>
          </w:p>
        </w:tc>
        <w:tc>
          <w:tcPr>
            <w:tcW w:w="2275" w:type="dxa"/>
            <w:noWrap w:val="0"/>
            <w:vAlign w:val="center"/>
          </w:tcPr>
          <w:p>
            <w:pPr>
              <w:jc w:val="center"/>
              <w:rPr>
                <w:color w:val="auto"/>
                <w:vertAlign w:val="baseline"/>
              </w:rPr>
            </w:pPr>
          </w:p>
        </w:tc>
        <w:tc>
          <w:tcPr>
            <w:tcW w:w="1995" w:type="dxa"/>
            <w:noWrap w:val="0"/>
            <w:vAlign w:val="center"/>
          </w:tcPr>
          <w:p>
            <w:pPr>
              <w:jc w:val="center"/>
              <w:rPr>
                <w:rFonts w:hint="default"/>
                <w:color w:val="auto"/>
                <w:vertAlign w:val="baseline"/>
                <w:lang w:val="en-US" w:eastAsia="zh-CN"/>
              </w:rPr>
            </w:pPr>
            <w:r>
              <w:rPr>
                <w:rFonts w:hint="eastAsia"/>
                <w:color w:val="auto"/>
                <w:vertAlign w:val="baseline"/>
                <w:lang w:val="en-US" w:eastAsia="zh-CN"/>
              </w:rPr>
              <w:t>近3年营业收入</w:t>
            </w:r>
          </w:p>
          <w:p>
            <w:pPr>
              <w:jc w:val="center"/>
              <w:rPr>
                <w:color w:val="auto"/>
                <w:vertAlign w:val="baseline"/>
              </w:rPr>
            </w:pPr>
            <w:r>
              <w:rPr>
                <w:rFonts w:hint="eastAsia"/>
                <w:color w:val="auto"/>
                <w:vertAlign w:val="baseline"/>
                <w:lang w:val="en-US" w:eastAsia="zh-CN"/>
              </w:rPr>
              <w:t>（万元）</w:t>
            </w:r>
          </w:p>
        </w:tc>
        <w:tc>
          <w:tcPr>
            <w:tcW w:w="2415" w:type="dxa"/>
            <w:noWrap w:val="0"/>
            <w:vAlign w:val="center"/>
          </w:tcPr>
          <w:p>
            <w:pPr>
              <w:jc w:val="cente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820" w:type="dxa"/>
            <w:noWrap w:val="0"/>
            <w:vAlign w:val="center"/>
          </w:tcPr>
          <w:p>
            <w:pPr>
              <w:jc w:val="center"/>
              <w:rPr>
                <w:rFonts w:hint="default" w:ascii="宋体" w:hAnsi="宋体" w:cs="宋体"/>
                <w:color w:val="auto"/>
                <w:sz w:val="21"/>
                <w:szCs w:val="21"/>
                <w:vertAlign w:val="baseline"/>
                <w:lang w:val="en-US" w:eastAsia="zh-CN"/>
              </w:rPr>
            </w:pPr>
            <w:r>
              <w:rPr>
                <w:rFonts w:hint="eastAsia" w:ascii="宋体" w:hAnsi="宋体" w:cs="宋体"/>
                <w:color w:val="auto"/>
                <w:sz w:val="21"/>
                <w:szCs w:val="21"/>
                <w:highlight w:val="none"/>
                <w:vertAlign w:val="baseline"/>
                <w:lang w:val="en-US" w:eastAsia="zh-CN"/>
              </w:rPr>
              <w:t>荣誉称号</w:t>
            </w:r>
          </w:p>
        </w:tc>
        <w:tc>
          <w:tcPr>
            <w:tcW w:w="2275" w:type="dxa"/>
            <w:noWrap w:val="0"/>
            <w:vAlign w:val="center"/>
          </w:tcPr>
          <w:p>
            <w:pPr>
              <w:jc w:val="center"/>
              <w:rPr>
                <w:color w:val="auto"/>
                <w:vertAlign w:val="baseline"/>
              </w:rPr>
            </w:pPr>
          </w:p>
        </w:tc>
        <w:tc>
          <w:tcPr>
            <w:tcW w:w="1995" w:type="dxa"/>
            <w:noWrap w:val="0"/>
            <w:vAlign w:val="center"/>
          </w:tcPr>
          <w:p>
            <w:pPr>
              <w:jc w:val="center"/>
              <w:rPr>
                <w:rFonts w:hint="default"/>
                <w:color w:val="auto"/>
                <w:vertAlign w:val="baseline"/>
                <w:lang w:val="en-US"/>
              </w:rPr>
            </w:pPr>
            <w:r>
              <w:rPr>
                <w:rFonts w:hint="eastAsia" w:ascii="宋体" w:hAnsi="宋体" w:cs="宋体"/>
                <w:color w:val="auto"/>
                <w:sz w:val="21"/>
                <w:szCs w:val="21"/>
                <w:vertAlign w:val="baseline"/>
                <w:lang w:val="en-US" w:eastAsia="zh-CN"/>
              </w:rPr>
              <w:t>专利技术</w:t>
            </w:r>
          </w:p>
        </w:tc>
        <w:tc>
          <w:tcPr>
            <w:tcW w:w="2415" w:type="dxa"/>
            <w:noWrap w:val="0"/>
            <w:vAlign w:val="center"/>
          </w:tcPr>
          <w:p>
            <w:pPr>
              <w:jc w:val="cente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1820" w:type="dxa"/>
            <w:noWrap w:val="0"/>
            <w:vAlign w:val="center"/>
          </w:tcPr>
          <w:p>
            <w:pPr>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拟股权融资金额</w:t>
            </w:r>
          </w:p>
          <w:p>
            <w:pPr>
              <w:jc w:val="center"/>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（万元）</w:t>
            </w:r>
          </w:p>
          <w:p>
            <w:pPr>
              <w:jc w:val="center"/>
              <w:rPr>
                <w:rFonts w:hint="default"/>
                <w:color w:val="auto"/>
                <w:vertAlign w:val="baseline"/>
                <w:lang w:val="en-US" w:eastAsia="zh-CN"/>
              </w:rPr>
            </w:pPr>
            <w:r>
              <w:rPr>
                <w:rFonts w:hint="eastAsia" w:ascii="宋体" w:hAnsi="宋体" w:cs="宋体"/>
                <w:color w:val="auto"/>
                <w:sz w:val="21"/>
                <w:szCs w:val="21"/>
                <w:highlight w:val="none"/>
                <w:vertAlign w:val="baseline"/>
                <w:lang w:val="en-US" w:eastAsia="zh-CN"/>
              </w:rPr>
              <w:t>及资金使用方向</w:t>
            </w:r>
          </w:p>
        </w:tc>
        <w:tc>
          <w:tcPr>
            <w:tcW w:w="6685" w:type="dxa"/>
            <w:gridSpan w:val="3"/>
            <w:noWrap w:val="0"/>
            <w:vAlign w:val="center"/>
          </w:tcPr>
          <w:p>
            <w:pPr>
              <w:jc w:val="cente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1820" w:type="dxa"/>
            <w:noWrap w:val="0"/>
            <w:vAlign w:val="center"/>
          </w:tcPr>
          <w:p>
            <w:pPr>
              <w:jc w:val="center"/>
              <w:rPr>
                <w:rFonts w:hint="default" w:eastAsia="宋体"/>
                <w:color w:val="auto"/>
                <w:vertAlign w:val="baseline"/>
                <w:lang w:val="en-US" w:eastAsia="zh-CN"/>
              </w:rPr>
            </w:pPr>
            <w:r>
              <w:rPr>
                <w:rFonts w:hint="eastAsia"/>
                <w:color w:val="auto"/>
                <w:vertAlign w:val="baseline"/>
                <w:lang w:val="en-US" w:eastAsia="zh-CN"/>
              </w:rPr>
              <w:t>企业概况</w:t>
            </w:r>
          </w:p>
        </w:tc>
        <w:tc>
          <w:tcPr>
            <w:tcW w:w="6685" w:type="dxa"/>
            <w:gridSpan w:val="3"/>
            <w:noWrap w:val="0"/>
            <w:vAlign w:val="center"/>
          </w:tcPr>
          <w:p>
            <w:pPr>
              <w:jc w:val="cente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trPr>
        <w:tc>
          <w:tcPr>
            <w:tcW w:w="1820" w:type="dxa"/>
            <w:noWrap w:val="0"/>
            <w:vAlign w:val="center"/>
          </w:tcPr>
          <w:p>
            <w:pPr>
              <w:jc w:val="center"/>
              <w:rPr>
                <w:color w:val="auto"/>
                <w:vertAlign w:val="baseline"/>
              </w:rPr>
            </w:pPr>
            <w:r>
              <w:rPr>
                <w:rFonts w:hint="eastAsia" w:ascii="宋体" w:hAnsi="宋体" w:cs="宋体"/>
                <w:color w:val="auto"/>
                <w:sz w:val="21"/>
                <w:szCs w:val="21"/>
                <w:vertAlign w:val="baseline"/>
                <w:lang w:val="en-US" w:eastAsia="zh-CN"/>
              </w:rPr>
              <w:t>申报单位意见</w:t>
            </w:r>
          </w:p>
        </w:tc>
        <w:tc>
          <w:tcPr>
            <w:tcW w:w="2275" w:type="dxa"/>
            <w:noWrap w:val="0"/>
            <w:vAlign w:val="center"/>
          </w:tcPr>
          <w:p>
            <w:pPr>
              <w:jc w:val="center"/>
              <w:rPr>
                <w:rFonts w:ascii="Calibri" w:hAnsi="Calibri" w:eastAsia="宋体" w:cs="Times New Roman"/>
                <w:color w:val="auto"/>
                <w:kern w:val="2"/>
                <w:sz w:val="21"/>
                <w:szCs w:val="24"/>
                <w:vertAlign w:val="baseline"/>
                <w:lang w:val="en-US" w:eastAsia="zh-CN" w:bidi="ar-SA"/>
              </w:rPr>
            </w:pPr>
          </w:p>
        </w:tc>
        <w:tc>
          <w:tcPr>
            <w:tcW w:w="1995" w:type="dxa"/>
            <w:noWrap w:val="0"/>
            <w:vAlign w:val="center"/>
          </w:tcPr>
          <w:p>
            <w:pPr>
              <w:jc w:val="center"/>
              <w:rPr>
                <w:rFonts w:hint="eastAsia" w:cs="Times New Roman"/>
                <w:color w:val="auto"/>
                <w:kern w:val="2"/>
                <w:sz w:val="21"/>
                <w:szCs w:val="24"/>
                <w:vertAlign w:val="baseline"/>
                <w:lang w:val="en-US" w:eastAsia="zh-CN" w:bidi="ar-SA"/>
              </w:rPr>
            </w:pPr>
            <w:r>
              <w:rPr>
                <w:rFonts w:hint="eastAsia" w:cs="Times New Roman"/>
                <w:color w:val="auto"/>
                <w:kern w:val="2"/>
                <w:sz w:val="21"/>
                <w:szCs w:val="24"/>
                <w:vertAlign w:val="baseline"/>
                <w:lang w:val="en-US" w:eastAsia="zh-CN" w:bidi="ar-SA"/>
              </w:rPr>
              <w:t>法人签字</w:t>
            </w:r>
          </w:p>
          <w:p>
            <w:pPr>
              <w:jc w:val="center"/>
              <w:rPr>
                <w:rFonts w:hint="eastAsia" w:cs="Times New Roman"/>
                <w:color w:val="auto"/>
                <w:kern w:val="2"/>
                <w:sz w:val="21"/>
                <w:szCs w:val="24"/>
                <w:vertAlign w:val="baseline"/>
                <w:lang w:val="en-US" w:eastAsia="zh-CN" w:bidi="ar-SA"/>
              </w:rPr>
            </w:pPr>
          </w:p>
          <w:p>
            <w:pPr>
              <w:jc w:val="center"/>
              <w:rPr>
                <w:rFonts w:hint="default" w:ascii="Calibri" w:hAnsi="Calibri" w:eastAsia="宋体" w:cs="Times New Roman"/>
                <w:color w:val="auto"/>
                <w:kern w:val="2"/>
                <w:sz w:val="21"/>
                <w:szCs w:val="24"/>
                <w:vertAlign w:val="baseline"/>
                <w:lang w:val="en-US" w:eastAsia="zh-CN" w:bidi="ar-SA"/>
              </w:rPr>
            </w:pPr>
            <w:r>
              <w:rPr>
                <w:rFonts w:hint="eastAsia" w:cs="Times New Roman"/>
                <w:color w:val="auto"/>
                <w:kern w:val="2"/>
                <w:sz w:val="21"/>
                <w:szCs w:val="24"/>
                <w:vertAlign w:val="baseline"/>
                <w:lang w:val="en-US" w:eastAsia="zh-CN" w:bidi="ar-SA"/>
              </w:rPr>
              <w:t>单位盖章</w:t>
            </w:r>
          </w:p>
        </w:tc>
        <w:tc>
          <w:tcPr>
            <w:tcW w:w="2415" w:type="dxa"/>
            <w:noWrap w:val="0"/>
            <w:vAlign w:val="center"/>
          </w:tcPr>
          <w:p>
            <w:pPr>
              <w:jc w:val="center"/>
              <w:rPr>
                <w:rFonts w:hint="eastAsia" w:cs="Times New Roman"/>
                <w:color w:val="auto"/>
                <w:kern w:val="2"/>
                <w:sz w:val="21"/>
                <w:szCs w:val="24"/>
                <w:vertAlign w:val="baseline"/>
                <w:lang w:val="en-US" w:eastAsia="zh-CN" w:bidi="ar-SA"/>
              </w:rPr>
            </w:pPr>
          </w:p>
          <w:p>
            <w:pPr>
              <w:jc w:val="center"/>
              <w:rPr>
                <w:rFonts w:hint="eastAsia" w:cs="Times New Roman"/>
                <w:color w:val="auto"/>
                <w:kern w:val="2"/>
                <w:sz w:val="21"/>
                <w:szCs w:val="24"/>
                <w:vertAlign w:val="baseline"/>
                <w:lang w:val="en-US" w:eastAsia="zh-CN" w:bidi="ar-SA"/>
              </w:rPr>
            </w:pPr>
          </w:p>
          <w:p>
            <w:pPr>
              <w:jc w:val="center"/>
              <w:rPr>
                <w:rFonts w:hint="eastAsia" w:cs="Times New Roman"/>
                <w:color w:val="auto"/>
                <w:kern w:val="2"/>
                <w:sz w:val="21"/>
                <w:szCs w:val="24"/>
                <w:vertAlign w:val="baseline"/>
                <w:lang w:val="en-US" w:eastAsia="zh-CN" w:bidi="ar-SA"/>
              </w:rPr>
            </w:pPr>
          </w:p>
          <w:p>
            <w:pPr>
              <w:jc w:val="center"/>
              <w:rPr>
                <w:rFonts w:hint="eastAsia" w:cs="Times New Roman"/>
                <w:color w:val="auto"/>
                <w:kern w:val="2"/>
                <w:sz w:val="21"/>
                <w:szCs w:val="24"/>
                <w:vertAlign w:val="baseline"/>
                <w:lang w:val="en-US" w:eastAsia="zh-CN" w:bidi="ar-SA"/>
              </w:rPr>
            </w:pPr>
          </w:p>
          <w:p>
            <w:pPr>
              <w:jc w:val="center"/>
              <w:rPr>
                <w:rFonts w:hint="eastAsia" w:cs="Times New Roman"/>
                <w:color w:val="auto"/>
                <w:kern w:val="2"/>
                <w:sz w:val="21"/>
                <w:szCs w:val="24"/>
                <w:vertAlign w:val="baseline"/>
                <w:lang w:val="en-US" w:eastAsia="zh-CN" w:bidi="ar-SA"/>
              </w:rPr>
            </w:pPr>
          </w:p>
          <w:p>
            <w:pPr>
              <w:jc w:val="center"/>
              <w:rPr>
                <w:rFonts w:hint="default" w:ascii="Calibri" w:hAnsi="Calibri" w:eastAsia="宋体" w:cs="Times New Roman"/>
                <w:color w:val="auto"/>
                <w:kern w:val="2"/>
                <w:sz w:val="21"/>
                <w:szCs w:val="24"/>
                <w:vertAlign w:val="baseline"/>
                <w:lang w:val="en-US" w:eastAsia="zh-CN" w:bidi="ar-SA"/>
              </w:rPr>
            </w:pPr>
            <w:r>
              <w:rPr>
                <w:rFonts w:hint="eastAsia" w:cs="Times New Roman"/>
                <w:color w:val="auto"/>
                <w:kern w:val="2"/>
                <w:sz w:val="21"/>
                <w:szCs w:val="24"/>
                <w:vertAlign w:val="baseline"/>
                <w:lang w:val="en-US" w:eastAsia="zh-CN"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1820"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auto"/>
                <w:vertAlign w:val="baseline"/>
              </w:rPr>
            </w:pPr>
            <w:r>
              <w:rPr>
                <w:rFonts w:hint="eastAsia" w:ascii="宋体" w:hAnsi="宋体" w:cs="宋体"/>
                <w:color w:val="auto"/>
                <w:sz w:val="21"/>
                <w:szCs w:val="21"/>
                <w:vertAlign w:val="baseline"/>
                <w:lang w:val="en-US" w:eastAsia="zh-CN"/>
              </w:rPr>
              <w:t>县（市、区）财政主管部门意见</w:t>
            </w:r>
          </w:p>
        </w:tc>
        <w:tc>
          <w:tcPr>
            <w:tcW w:w="2275" w:type="dxa"/>
            <w:noWrap w:val="0"/>
            <w:vAlign w:val="center"/>
          </w:tcPr>
          <w:p>
            <w:pPr>
              <w:jc w:val="center"/>
              <w:rPr>
                <w:color w:val="auto"/>
                <w:vertAlign w:val="baseline"/>
              </w:rPr>
            </w:pPr>
          </w:p>
        </w:tc>
        <w:tc>
          <w:tcPr>
            <w:tcW w:w="1995" w:type="dxa"/>
            <w:noWrap w:val="0"/>
            <w:vAlign w:val="center"/>
          </w:tcPr>
          <w:p>
            <w:pPr>
              <w:ind w:firstLine="420" w:firstLineChars="200"/>
              <w:jc w:val="both"/>
              <w:rPr>
                <w:color w:val="auto"/>
                <w:vertAlign w:val="baseline"/>
              </w:rPr>
            </w:pPr>
            <w:r>
              <w:rPr>
                <w:rFonts w:hint="eastAsia" w:cs="Times New Roman"/>
                <w:color w:val="auto"/>
                <w:kern w:val="2"/>
                <w:sz w:val="21"/>
                <w:szCs w:val="24"/>
                <w:vertAlign w:val="baseline"/>
                <w:lang w:val="en-US" w:eastAsia="zh-CN" w:bidi="ar-SA"/>
              </w:rPr>
              <w:t>单位盖章</w:t>
            </w:r>
          </w:p>
        </w:tc>
        <w:tc>
          <w:tcPr>
            <w:tcW w:w="2415" w:type="dxa"/>
            <w:noWrap w:val="0"/>
            <w:vAlign w:val="center"/>
          </w:tcPr>
          <w:p>
            <w:pPr>
              <w:jc w:val="center"/>
              <w:rPr>
                <w:rFonts w:hint="eastAsia" w:cs="Times New Roman"/>
                <w:color w:val="auto"/>
                <w:kern w:val="2"/>
                <w:sz w:val="21"/>
                <w:szCs w:val="24"/>
                <w:vertAlign w:val="baseline"/>
                <w:lang w:val="en-US" w:eastAsia="zh-CN" w:bidi="ar-SA"/>
              </w:rPr>
            </w:pPr>
          </w:p>
          <w:p>
            <w:pPr>
              <w:jc w:val="center"/>
              <w:rPr>
                <w:rFonts w:hint="eastAsia" w:cs="Times New Roman"/>
                <w:color w:val="auto"/>
                <w:kern w:val="2"/>
                <w:sz w:val="21"/>
                <w:szCs w:val="24"/>
                <w:vertAlign w:val="baseline"/>
                <w:lang w:val="en-US" w:eastAsia="zh-CN" w:bidi="ar-SA"/>
              </w:rPr>
            </w:pPr>
          </w:p>
          <w:p>
            <w:pPr>
              <w:jc w:val="center"/>
              <w:rPr>
                <w:rFonts w:hint="eastAsia" w:cs="Times New Roman"/>
                <w:color w:val="auto"/>
                <w:kern w:val="2"/>
                <w:sz w:val="21"/>
                <w:szCs w:val="24"/>
                <w:vertAlign w:val="baseline"/>
                <w:lang w:val="en-US" w:eastAsia="zh-CN" w:bidi="ar-SA"/>
              </w:rPr>
            </w:pPr>
          </w:p>
          <w:p>
            <w:pPr>
              <w:jc w:val="center"/>
              <w:rPr>
                <w:rFonts w:hint="eastAsia" w:cs="Times New Roman"/>
                <w:color w:val="auto"/>
                <w:kern w:val="2"/>
                <w:sz w:val="21"/>
                <w:szCs w:val="24"/>
                <w:vertAlign w:val="baseline"/>
                <w:lang w:val="en-US" w:eastAsia="zh-CN" w:bidi="ar-SA"/>
              </w:rPr>
            </w:pPr>
            <w:r>
              <w:rPr>
                <w:rFonts w:hint="eastAsia" w:cs="Times New Roman"/>
                <w:color w:val="auto"/>
                <w:kern w:val="2"/>
                <w:sz w:val="21"/>
                <w:szCs w:val="24"/>
                <w:vertAlign w:val="baseline"/>
                <w:lang w:val="en-US" w:eastAsia="zh-CN" w:bidi="ar-SA"/>
              </w:rPr>
              <w:t xml:space="preserve">      </w:t>
            </w:r>
          </w:p>
          <w:p>
            <w:pPr>
              <w:jc w:val="center"/>
              <w:rPr>
                <w:color w:val="auto"/>
                <w:vertAlign w:val="baseline"/>
              </w:rPr>
            </w:pPr>
            <w:r>
              <w:rPr>
                <w:rFonts w:hint="eastAsia" w:cs="Times New Roman"/>
                <w:color w:val="auto"/>
                <w:kern w:val="2"/>
                <w:sz w:val="21"/>
                <w:szCs w:val="24"/>
                <w:vertAlign w:val="baseline"/>
                <w:lang w:val="en-US" w:eastAsia="zh-CN" w:bidi="ar-SA"/>
              </w:rPr>
              <w:t xml:space="preserve">        年  月  日</w:t>
            </w:r>
          </w:p>
        </w:tc>
      </w:tr>
    </w:tbl>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kern w:val="0"/>
          <w:sz w:val="28"/>
          <w:szCs w:val="28"/>
          <w:lang w:val="en-US" w:eastAsia="zh-CN" w:bidi="ar"/>
        </w:rPr>
        <w:sectPr>
          <w:footerReference r:id="rId3" w:type="default"/>
          <w:pgSz w:w="11906" w:h="16838"/>
          <w:pgMar w:top="1587" w:right="1587" w:bottom="1587" w:left="1587" w:header="851" w:footer="992" w:gutter="0"/>
          <w:cols w:space="425" w:num="1"/>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附件2</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kern w:val="0"/>
          <w:sz w:val="32"/>
          <w:szCs w:val="32"/>
          <w:lang w:val="en-US" w:eastAsia="zh-CN" w:bidi="ar"/>
        </w:rPr>
      </w:pPr>
      <w:r>
        <w:rPr>
          <w:rFonts w:hint="eastAsia" w:ascii="方正小标宋简体" w:hAnsi="方正小标宋简体" w:eastAsia="方正小标宋简体" w:cs="方正小标宋简体"/>
          <w:color w:val="auto"/>
          <w:kern w:val="0"/>
          <w:sz w:val="32"/>
          <w:szCs w:val="32"/>
          <w:lang w:val="en-US" w:eastAsia="zh-CN" w:bidi="ar"/>
        </w:rPr>
        <w:t>项目简介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2"/>
        <w:gridCol w:w="6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3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kern w:val="0"/>
                <w:sz w:val="24"/>
                <w:szCs w:val="24"/>
                <w:vertAlign w:val="baseline"/>
                <w:lang w:val="en-US" w:eastAsia="zh-CN" w:bidi="ar"/>
              </w:rPr>
            </w:pPr>
            <w:r>
              <w:rPr>
                <w:rFonts w:hint="eastAsia" w:ascii="宋体" w:hAnsi="宋体" w:eastAsia="宋体" w:cs="宋体"/>
                <w:color w:val="auto"/>
                <w:sz w:val="24"/>
                <w:szCs w:val="24"/>
                <w:vertAlign w:val="baseline"/>
                <w:lang w:val="en-US" w:eastAsia="zh-CN"/>
              </w:rPr>
              <w:t>项目名称</w:t>
            </w:r>
          </w:p>
        </w:tc>
        <w:tc>
          <w:tcPr>
            <w:tcW w:w="66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23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kern w:val="0"/>
                <w:sz w:val="24"/>
                <w:szCs w:val="24"/>
                <w:vertAlign w:val="baseline"/>
                <w:lang w:val="en-US" w:eastAsia="zh-CN" w:bidi="ar"/>
              </w:rPr>
            </w:pPr>
            <w:r>
              <w:rPr>
                <w:rFonts w:hint="eastAsia" w:ascii="宋体" w:hAnsi="宋体" w:eastAsia="宋体" w:cs="宋体"/>
                <w:color w:val="auto"/>
                <w:sz w:val="24"/>
                <w:szCs w:val="24"/>
                <w:vertAlign w:val="baseline"/>
                <w:lang w:val="en-US" w:eastAsia="zh-CN"/>
              </w:rPr>
              <w:t>建设内容及规模</w:t>
            </w:r>
          </w:p>
        </w:tc>
        <w:tc>
          <w:tcPr>
            <w:tcW w:w="66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3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kern w:val="0"/>
                <w:sz w:val="24"/>
                <w:szCs w:val="24"/>
                <w:vertAlign w:val="baseline"/>
                <w:lang w:val="en-US" w:eastAsia="zh-CN" w:bidi="ar"/>
              </w:rPr>
            </w:pPr>
            <w:r>
              <w:rPr>
                <w:rFonts w:hint="eastAsia" w:ascii="宋体" w:hAnsi="宋体" w:eastAsia="宋体" w:cs="宋体"/>
                <w:color w:val="auto"/>
                <w:sz w:val="24"/>
                <w:szCs w:val="24"/>
                <w:vertAlign w:val="baseline"/>
                <w:lang w:val="en-US" w:eastAsia="zh-CN"/>
              </w:rPr>
              <w:t>项目技术亮点</w:t>
            </w:r>
          </w:p>
        </w:tc>
        <w:tc>
          <w:tcPr>
            <w:tcW w:w="66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2322" w:type="dxa"/>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总投资及年度</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kern w:val="0"/>
                <w:sz w:val="24"/>
                <w:szCs w:val="24"/>
                <w:vertAlign w:val="baseline"/>
                <w:lang w:val="en-US" w:eastAsia="zh-CN" w:bidi="ar"/>
              </w:rPr>
            </w:pPr>
            <w:r>
              <w:rPr>
                <w:rFonts w:hint="eastAsia" w:ascii="宋体" w:hAnsi="宋体" w:eastAsia="宋体" w:cs="宋体"/>
                <w:color w:val="auto"/>
                <w:sz w:val="24"/>
                <w:szCs w:val="24"/>
                <w:vertAlign w:val="baseline"/>
                <w:lang w:val="en-US" w:eastAsia="zh-CN"/>
              </w:rPr>
              <w:t>计划投资</w:t>
            </w:r>
          </w:p>
        </w:tc>
        <w:tc>
          <w:tcPr>
            <w:tcW w:w="66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23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kern w:val="0"/>
                <w:sz w:val="24"/>
                <w:szCs w:val="24"/>
                <w:vertAlign w:val="baseline"/>
                <w:lang w:val="en-US" w:eastAsia="zh-CN" w:bidi="ar"/>
              </w:rPr>
            </w:pPr>
            <w:r>
              <w:rPr>
                <w:rFonts w:hint="eastAsia" w:ascii="宋体" w:hAnsi="宋体" w:eastAsia="宋体" w:cs="宋体"/>
                <w:color w:val="auto"/>
                <w:sz w:val="24"/>
                <w:szCs w:val="24"/>
                <w:vertAlign w:val="baseline"/>
                <w:lang w:val="en-US" w:eastAsia="zh-CN"/>
              </w:rPr>
              <w:t>产业政策符合性</w:t>
            </w:r>
          </w:p>
        </w:tc>
        <w:tc>
          <w:tcPr>
            <w:tcW w:w="66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23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kern w:val="0"/>
                <w:sz w:val="24"/>
                <w:szCs w:val="24"/>
                <w:vertAlign w:val="baseline"/>
                <w:lang w:val="en-US" w:eastAsia="zh-CN" w:bidi="ar"/>
              </w:rPr>
            </w:pPr>
            <w:r>
              <w:rPr>
                <w:rFonts w:hint="eastAsia" w:ascii="宋体" w:hAnsi="宋体" w:eastAsia="宋体" w:cs="宋体"/>
                <w:color w:val="auto"/>
                <w:sz w:val="24"/>
                <w:szCs w:val="24"/>
                <w:vertAlign w:val="baseline"/>
                <w:lang w:val="en-US" w:eastAsia="zh-CN"/>
              </w:rPr>
              <w:t>项目建设必要性</w:t>
            </w:r>
          </w:p>
        </w:tc>
        <w:tc>
          <w:tcPr>
            <w:tcW w:w="66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23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kern w:val="0"/>
                <w:sz w:val="24"/>
                <w:szCs w:val="24"/>
                <w:vertAlign w:val="baseline"/>
                <w:lang w:val="en-US" w:eastAsia="zh-CN" w:bidi="ar"/>
              </w:rPr>
            </w:pPr>
            <w:r>
              <w:rPr>
                <w:rFonts w:hint="eastAsia" w:ascii="宋体" w:hAnsi="宋体" w:eastAsia="宋体" w:cs="宋体"/>
                <w:color w:val="auto"/>
                <w:sz w:val="24"/>
                <w:szCs w:val="24"/>
                <w:vertAlign w:val="baseline"/>
                <w:lang w:val="en-US" w:eastAsia="zh-CN"/>
              </w:rPr>
              <w:t>项目手续办理情况</w:t>
            </w:r>
          </w:p>
        </w:tc>
        <w:tc>
          <w:tcPr>
            <w:tcW w:w="66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3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kern w:val="0"/>
                <w:sz w:val="24"/>
                <w:szCs w:val="24"/>
                <w:vertAlign w:val="baseline"/>
                <w:lang w:val="en-US" w:eastAsia="zh-CN" w:bidi="ar"/>
              </w:rPr>
            </w:pPr>
            <w:r>
              <w:rPr>
                <w:rFonts w:hint="eastAsia" w:ascii="宋体" w:hAnsi="宋体" w:eastAsia="宋体" w:cs="宋体"/>
                <w:color w:val="auto"/>
                <w:sz w:val="24"/>
                <w:szCs w:val="24"/>
                <w:vertAlign w:val="baseline"/>
                <w:lang w:val="en-US" w:eastAsia="zh-CN"/>
              </w:rPr>
              <w:t>建设起止年限</w:t>
            </w:r>
          </w:p>
        </w:tc>
        <w:tc>
          <w:tcPr>
            <w:tcW w:w="66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3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kern w:val="0"/>
                <w:sz w:val="24"/>
                <w:szCs w:val="24"/>
                <w:vertAlign w:val="baseline"/>
                <w:lang w:val="en-US" w:eastAsia="zh-CN" w:bidi="ar"/>
              </w:rPr>
            </w:pPr>
            <w:r>
              <w:rPr>
                <w:rFonts w:hint="eastAsia" w:ascii="宋体" w:hAnsi="宋体" w:eastAsia="宋体" w:cs="宋体"/>
                <w:color w:val="auto"/>
                <w:sz w:val="24"/>
                <w:szCs w:val="24"/>
                <w:vertAlign w:val="baseline"/>
                <w:lang w:val="en-US" w:eastAsia="zh-CN"/>
              </w:rPr>
              <w:t>联系人及联系方式</w:t>
            </w:r>
          </w:p>
        </w:tc>
        <w:tc>
          <w:tcPr>
            <w:tcW w:w="66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kern w:val="0"/>
                <w:sz w:val="24"/>
                <w:szCs w:val="24"/>
                <w:vertAlign w:val="baseli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color w:val="auto"/>
          <w:kern w:val="0"/>
          <w:sz w:val="32"/>
          <w:szCs w:val="32"/>
          <w:lang w:val="en-US" w:eastAsia="zh-CN" w:bidi="ar"/>
        </w:rPr>
      </w:pPr>
    </w:p>
    <w:sectPr>
      <w:pgSz w:w="11906" w:h="16838"/>
      <w:pgMar w:top="1587"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07AB12"/>
    <w:multiLevelType w:val="singleLevel"/>
    <w:tmpl w:val="C607AB12"/>
    <w:lvl w:ilvl="0" w:tentative="0">
      <w:start w:val="1"/>
      <w:numFmt w:val="chineseCounting"/>
      <w:suff w:val="nothing"/>
      <w:lvlText w:val="（%1）"/>
      <w:lvlJc w:val="left"/>
      <w:rPr>
        <w:rFonts w:hint="eastAsia"/>
      </w:rPr>
    </w:lvl>
  </w:abstractNum>
  <w:abstractNum w:abstractNumId="1">
    <w:nsid w:val="63B83B87"/>
    <w:multiLevelType w:val="singleLevel"/>
    <w:tmpl w:val="63B83B8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jNzY5OTJhNzE0NjBhNTJmZjkzNjYxMGE3ZTI5ZjUifQ=="/>
  </w:docVars>
  <w:rsids>
    <w:rsidRoot w:val="00000000"/>
    <w:rsid w:val="00443491"/>
    <w:rsid w:val="042F62B6"/>
    <w:rsid w:val="0627193B"/>
    <w:rsid w:val="0A904006"/>
    <w:rsid w:val="0BB40DEF"/>
    <w:rsid w:val="0C655ADA"/>
    <w:rsid w:val="0D6E60A1"/>
    <w:rsid w:val="0DCE6B40"/>
    <w:rsid w:val="0FB56209"/>
    <w:rsid w:val="11673386"/>
    <w:rsid w:val="12A7070B"/>
    <w:rsid w:val="15413771"/>
    <w:rsid w:val="15636D0C"/>
    <w:rsid w:val="15B34F99"/>
    <w:rsid w:val="17471E3D"/>
    <w:rsid w:val="1A491A28"/>
    <w:rsid w:val="1C3D736A"/>
    <w:rsid w:val="1DA82F09"/>
    <w:rsid w:val="1DD04C16"/>
    <w:rsid w:val="1DD145C1"/>
    <w:rsid w:val="1E8D1DDF"/>
    <w:rsid w:val="1FE10954"/>
    <w:rsid w:val="207E43F5"/>
    <w:rsid w:val="25F25438"/>
    <w:rsid w:val="268A0EDE"/>
    <w:rsid w:val="27D86AE1"/>
    <w:rsid w:val="298F6045"/>
    <w:rsid w:val="29976665"/>
    <w:rsid w:val="2AEE468E"/>
    <w:rsid w:val="2C923388"/>
    <w:rsid w:val="2D4331C7"/>
    <w:rsid w:val="3012468E"/>
    <w:rsid w:val="30872635"/>
    <w:rsid w:val="32F10BFB"/>
    <w:rsid w:val="36AD75D6"/>
    <w:rsid w:val="375F3A8C"/>
    <w:rsid w:val="37F74D1C"/>
    <w:rsid w:val="3DB743BB"/>
    <w:rsid w:val="3E29167F"/>
    <w:rsid w:val="3E5959D1"/>
    <w:rsid w:val="3EB0149F"/>
    <w:rsid w:val="3F4E1E62"/>
    <w:rsid w:val="3F5459CA"/>
    <w:rsid w:val="42AC796B"/>
    <w:rsid w:val="44026427"/>
    <w:rsid w:val="441B7F1A"/>
    <w:rsid w:val="471548BC"/>
    <w:rsid w:val="47FE7A46"/>
    <w:rsid w:val="49D83A04"/>
    <w:rsid w:val="49DF57C2"/>
    <w:rsid w:val="49E920A2"/>
    <w:rsid w:val="4B3519D1"/>
    <w:rsid w:val="4C3677AE"/>
    <w:rsid w:val="536D509A"/>
    <w:rsid w:val="5441513A"/>
    <w:rsid w:val="5A001125"/>
    <w:rsid w:val="5EC66DAF"/>
    <w:rsid w:val="609E371C"/>
    <w:rsid w:val="60A27745"/>
    <w:rsid w:val="615A65B3"/>
    <w:rsid w:val="626E7018"/>
    <w:rsid w:val="62B5327F"/>
    <w:rsid w:val="63F200B4"/>
    <w:rsid w:val="647B2EDF"/>
    <w:rsid w:val="69F354C6"/>
    <w:rsid w:val="6C8713E3"/>
    <w:rsid w:val="6D18386D"/>
    <w:rsid w:val="720C1D84"/>
    <w:rsid w:val="74F60E4B"/>
    <w:rsid w:val="755A5A0C"/>
    <w:rsid w:val="784D2F1F"/>
    <w:rsid w:val="7B6429FF"/>
    <w:rsid w:val="7C2154D6"/>
    <w:rsid w:val="7CC46ADB"/>
    <w:rsid w:val="7F6A2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spacing w:beforeAutospacing="1" w:afterAutospacing="1"/>
      <w:jc w:val="left"/>
      <w:outlineLvl w:val="2"/>
    </w:pPr>
    <w:rPr>
      <w:rFonts w:hint="eastAsia" w:ascii="楷体_GB2312" w:hAnsi="楷体_GB2312" w:eastAsia="楷体_GB2312" w:cs="宋体"/>
      <w:kern w:val="0"/>
      <w:sz w:val="32"/>
      <w:szCs w:val="27"/>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2232</Words>
  <Characters>2322</Characters>
  <Lines>0</Lines>
  <Paragraphs>0</Paragraphs>
  <TotalTime>2</TotalTime>
  <ScaleCrop>false</ScaleCrop>
  <LinksUpToDate>false</LinksUpToDate>
  <CharactersWithSpaces>2443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2024-07-10T03:12:00Z</dcterms:created>
  <dc:creator>Administrator</dc:creator>
  <cp:lastModifiedBy>Expecto  Patronum</cp:lastModifiedBy>
  <cp:lastPrinted>2024-07-12T09:16:00Z</cp:lastPrinted>
  <dcterms:modified xsi:type="dcterms:W3CDTF">2024-08-19T08:31:03Z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FF5C68E3F1B64A439CE90F8E699375F3</vt:lpwstr>
  </property>
</Properties>
</file>